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6B" w:rsidRDefault="00AE0256" w:rsidP="00E0751F">
      <w:pPr>
        <w:spacing w:after="120"/>
        <w:ind w:firstLine="0"/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1348B6" wp14:editId="77D95EE2">
            <wp:simplePos x="0" y="0"/>
            <wp:positionH relativeFrom="margin">
              <wp:align>left</wp:align>
            </wp:positionH>
            <wp:positionV relativeFrom="paragraph">
              <wp:posOffset>-1447800</wp:posOffset>
            </wp:positionV>
            <wp:extent cx="2969883" cy="1047750"/>
            <wp:effectExtent l="0" t="0" r="254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IT_Standar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8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0CD" w:rsidRPr="00AC1E52" w:rsidRDefault="002D1BD6" w:rsidP="00E0751F">
      <w:pPr>
        <w:spacing w:after="120"/>
        <w:ind w:firstLine="0"/>
        <w:rPr>
          <w:b/>
          <w:sz w:val="24"/>
        </w:rPr>
      </w:pPr>
      <w:r>
        <w:rPr>
          <w:b/>
          <w:sz w:val="24"/>
        </w:rPr>
        <w:t>NOT-FOR-ACADEMIC</w:t>
      </w:r>
      <w:r w:rsidR="00371718">
        <w:rPr>
          <w:b/>
          <w:sz w:val="24"/>
        </w:rPr>
        <w:t xml:space="preserve"> </w:t>
      </w:r>
      <w:r>
        <w:rPr>
          <w:b/>
          <w:sz w:val="24"/>
        </w:rPr>
        <w:t xml:space="preserve">CREDIT </w:t>
      </w:r>
      <w:r w:rsidR="005C2DD3">
        <w:rPr>
          <w:b/>
          <w:sz w:val="24"/>
        </w:rPr>
        <w:t xml:space="preserve">DIGITAL </w:t>
      </w:r>
      <w:r w:rsidR="00202142">
        <w:rPr>
          <w:b/>
          <w:sz w:val="24"/>
        </w:rPr>
        <w:t xml:space="preserve">BADGES, </w:t>
      </w:r>
      <w:r w:rsidR="00177754">
        <w:rPr>
          <w:b/>
          <w:sz w:val="24"/>
        </w:rPr>
        <w:t>MICROCREDENTIAL</w:t>
      </w:r>
      <w:r w:rsidR="00202142">
        <w:rPr>
          <w:b/>
          <w:sz w:val="24"/>
        </w:rPr>
        <w:t xml:space="preserve">S, AND STACKABLE CREDENTIALS </w:t>
      </w:r>
      <w:r w:rsidR="00177754">
        <w:rPr>
          <w:b/>
          <w:sz w:val="24"/>
        </w:rPr>
        <w:t>POLICY</w:t>
      </w:r>
    </w:p>
    <w:p w:rsidR="00DE1624" w:rsidRDefault="00DE1624" w:rsidP="000E4733">
      <w:pPr>
        <w:spacing w:after="120"/>
      </w:pPr>
    </w:p>
    <w:p w:rsidR="00DE1624" w:rsidRPr="00107ECB" w:rsidRDefault="00DE1624" w:rsidP="000E4733">
      <w:pPr>
        <w:spacing w:after="120"/>
        <w:ind w:firstLine="0"/>
        <w:rPr>
          <w:b/>
        </w:rPr>
      </w:pPr>
      <w:r w:rsidRPr="00107ECB">
        <w:rPr>
          <w:b/>
        </w:rPr>
        <w:t>PURPOSE</w:t>
      </w:r>
    </w:p>
    <w:p w:rsidR="00FC7963" w:rsidRPr="00FC7963" w:rsidRDefault="003868B1" w:rsidP="00FC7963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>The purpose of this P</w:t>
      </w:r>
      <w:r w:rsidR="00560956">
        <w:t xml:space="preserve">olicy is to </w:t>
      </w:r>
      <w:r w:rsidR="005E5CC9">
        <w:t xml:space="preserve">provide a framework </w:t>
      </w:r>
      <w:r w:rsidR="006508B6">
        <w:t>for</w:t>
      </w:r>
      <w:r w:rsidR="005E5CC9">
        <w:t xml:space="preserve"> the university’s recognition</w:t>
      </w:r>
      <w:r w:rsidR="009F08A8">
        <w:t>, integration</w:t>
      </w:r>
      <w:r w:rsidR="005E5CC9">
        <w:t xml:space="preserve"> and use of </w:t>
      </w:r>
      <w:r w:rsidR="00FC7963">
        <w:t>no</w:t>
      </w:r>
      <w:r w:rsidR="002D1BD6">
        <w:t>t</w:t>
      </w:r>
      <w:r w:rsidR="00FC7963">
        <w:t>-</w:t>
      </w:r>
      <w:r w:rsidR="002D1BD6">
        <w:t xml:space="preserve">for-academic credit </w:t>
      </w:r>
      <w:r w:rsidR="005E5CC9">
        <w:t>digital badges</w:t>
      </w:r>
      <w:r w:rsidR="00FC7963">
        <w:t>,</w:t>
      </w:r>
      <w:r w:rsidR="00B54D6B">
        <w:t xml:space="preserve"> </w:t>
      </w:r>
      <w:proofErr w:type="spellStart"/>
      <w:r w:rsidR="005E5CC9">
        <w:t>microcredentials</w:t>
      </w:r>
      <w:proofErr w:type="spellEnd"/>
      <w:r w:rsidR="00FC7963">
        <w:t>, and stackable credentials</w:t>
      </w:r>
      <w:r w:rsidR="0036120A">
        <w:t xml:space="preserve"> </w:t>
      </w:r>
      <w:r w:rsidR="00567BF1">
        <w:t xml:space="preserve">branded and/or </w:t>
      </w:r>
      <w:r w:rsidR="0036120A">
        <w:t>issued by Ontario Tech University</w:t>
      </w:r>
      <w:r w:rsidR="005E5CC9">
        <w:t>.</w:t>
      </w:r>
    </w:p>
    <w:p w:rsidR="00347BFC" w:rsidRPr="00347BFC" w:rsidRDefault="00347BFC" w:rsidP="00347BFC">
      <w:pPr>
        <w:pStyle w:val="ListParagraph"/>
        <w:spacing w:after="120"/>
        <w:ind w:firstLine="0"/>
        <w:contextualSpacing w:val="0"/>
        <w:rPr>
          <w:b/>
        </w:rPr>
      </w:pPr>
    </w:p>
    <w:p w:rsidR="0000687B" w:rsidRDefault="0000687B" w:rsidP="000E4733">
      <w:pPr>
        <w:spacing w:after="120"/>
        <w:ind w:firstLine="0"/>
      </w:pPr>
      <w:r>
        <w:rPr>
          <w:b/>
        </w:rPr>
        <w:t>DEFINITIONS</w:t>
      </w:r>
    </w:p>
    <w:p w:rsidR="00A217F9" w:rsidRPr="0036120A" w:rsidRDefault="003868B1" w:rsidP="000E4733">
      <w:pPr>
        <w:pStyle w:val="ListParagraph"/>
        <w:numPr>
          <w:ilvl w:val="0"/>
          <w:numId w:val="2"/>
        </w:numPr>
        <w:spacing w:after="120"/>
        <w:contextualSpacing w:val="0"/>
        <w:rPr>
          <w:color w:val="E36C0A" w:themeColor="accent6" w:themeShade="BF"/>
        </w:rPr>
      </w:pPr>
      <w:r>
        <w:t>For the purposes of this P</w:t>
      </w:r>
      <w:r w:rsidR="00A217F9">
        <w:t>olicy the following definitions apply:</w:t>
      </w:r>
      <w:r w:rsidR="00826000">
        <w:t xml:space="preserve">  </w:t>
      </w:r>
    </w:p>
    <w:p w:rsidR="00826000" w:rsidRDefault="00826000" w:rsidP="00DC053B">
      <w:pPr>
        <w:spacing w:after="120"/>
        <w:ind w:left="720" w:firstLine="0"/>
      </w:pPr>
      <w:r>
        <w:rPr>
          <w:b/>
        </w:rPr>
        <w:t>“</w:t>
      </w:r>
      <w:r w:rsidR="00D224DE">
        <w:rPr>
          <w:b/>
        </w:rPr>
        <w:t xml:space="preserve">Digital </w:t>
      </w:r>
      <w:r w:rsidR="0013175E">
        <w:rPr>
          <w:b/>
        </w:rPr>
        <w:t>Badge</w:t>
      </w:r>
      <w:r>
        <w:rPr>
          <w:b/>
        </w:rPr>
        <w:t xml:space="preserve">” </w:t>
      </w:r>
      <w:r w:rsidR="0013175E">
        <w:t xml:space="preserve">refers to </w:t>
      </w:r>
      <w:r w:rsidR="00D224DE">
        <w:t>the</w:t>
      </w:r>
      <w:r w:rsidR="0013175E">
        <w:t xml:space="preserve"> validated digital image </w:t>
      </w:r>
      <w:r w:rsidR="003200DE">
        <w:t xml:space="preserve">and </w:t>
      </w:r>
      <w:r w:rsidR="006508B6">
        <w:t xml:space="preserve">its </w:t>
      </w:r>
      <w:r w:rsidR="003200DE">
        <w:t>associated metadata</w:t>
      </w:r>
      <w:r w:rsidR="0013175E">
        <w:t xml:space="preserve"> that </w:t>
      </w:r>
      <w:r w:rsidR="006508B6">
        <w:t xml:space="preserve">documents when, where and how an </w:t>
      </w:r>
      <w:r w:rsidR="00563E89">
        <w:t>accomplishment, skill, quality, interest</w:t>
      </w:r>
      <w:r w:rsidR="006508B6">
        <w:t>,</w:t>
      </w:r>
      <w:r w:rsidR="00563E89">
        <w:t xml:space="preserve"> </w:t>
      </w:r>
      <w:proofErr w:type="spellStart"/>
      <w:r w:rsidR="005C2DD3">
        <w:t>microcredential</w:t>
      </w:r>
      <w:proofErr w:type="spellEnd"/>
      <w:r w:rsidR="005C2DD3">
        <w:t xml:space="preserve"> </w:t>
      </w:r>
      <w:r w:rsidR="00563E89">
        <w:t xml:space="preserve">or </w:t>
      </w:r>
      <w:r w:rsidR="005C2DD3">
        <w:t xml:space="preserve">other stackable </w:t>
      </w:r>
      <w:r w:rsidR="00563E89">
        <w:t>credential</w:t>
      </w:r>
      <w:r w:rsidR="006508B6">
        <w:t xml:space="preserve"> was completed</w:t>
      </w:r>
      <w:r w:rsidR="0013175E">
        <w:t>.</w:t>
      </w:r>
      <w:r w:rsidR="0036120A">
        <w:t xml:space="preserve">  </w:t>
      </w:r>
    </w:p>
    <w:p w:rsidR="00503483" w:rsidRPr="00503483" w:rsidRDefault="00503483" w:rsidP="00DC053B">
      <w:pPr>
        <w:spacing w:after="120"/>
        <w:ind w:left="720" w:firstLine="0"/>
      </w:pPr>
      <w:r>
        <w:rPr>
          <w:b/>
        </w:rPr>
        <w:t xml:space="preserve">“Horizontal Stacking” </w:t>
      </w:r>
      <w:r>
        <w:t>refers to the stacking of units of study</w:t>
      </w:r>
      <w:r w:rsidR="001C7DBE">
        <w:t xml:space="preserve"> with little or no explicit hierarchical order.  </w:t>
      </w:r>
      <w:proofErr w:type="spellStart"/>
      <w:r w:rsidR="001C7DBE">
        <w:t>Corequisite</w:t>
      </w:r>
      <w:proofErr w:type="spellEnd"/>
      <w:r w:rsidR="001C7DBE">
        <w:t xml:space="preserve"> learning is the norm</w:t>
      </w:r>
      <w:r w:rsidR="00F44557">
        <w:t xml:space="preserve"> but prerequisites may be required in some instances</w:t>
      </w:r>
      <w:r w:rsidR="001C7DBE">
        <w:t>.</w:t>
      </w:r>
    </w:p>
    <w:p w:rsidR="00371718" w:rsidRDefault="0013175E" w:rsidP="00DC053B">
      <w:pPr>
        <w:spacing w:after="120"/>
        <w:ind w:left="720" w:firstLine="0"/>
      </w:pPr>
      <w:r>
        <w:rPr>
          <w:b/>
        </w:rPr>
        <w:t>“</w:t>
      </w:r>
      <w:proofErr w:type="spellStart"/>
      <w:r>
        <w:rPr>
          <w:b/>
        </w:rPr>
        <w:t>Microcredential</w:t>
      </w:r>
      <w:proofErr w:type="spellEnd"/>
      <w:r>
        <w:rPr>
          <w:b/>
        </w:rPr>
        <w:t>”</w:t>
      </w:r>
      <w:r w:rsidR="00563E89">
        <w:rPr>
          <w:b/>
        </w:rPr>
        <w:t xml:space="preserve"> </w:t>
      </w:r>
      <w:r w:rsidR="00563E89">
        <w:t xml:space="preserve">is a micro-certificate that </w:t>
      </w:r>
      <w:r w:rsidR="00FB5782">
        <w:t>includes a suitable evaluation of the acquisition of a competency</w:t>
      </w:r>
      <w:r w:rsidR="009F08A8">
        <w:t>,</w:t>
      </w:r>
      <w:r w:rsidR="00FB5782">
        <w:t xml:space="preserve"> skill</w:t>
      </w:r>
      <w:r w:rsidR="009F08A8">
        <w:t>, or learning outcome</w:t>
      </w:r>
      <w:r w:rsidR="006508B6">
        <w:t xml:space="preserve"> through a single learning experience or a collection of learning experiences</w:t>
      </w:r>
      <w:r w:rsidR="00FB5782">
        <w:t>.</w:t>
      </w:r>
      <w:r w:rsidR="009F08A8">
        <w:t xml:space="preserve">  </w:t>
      </w:r>
    </w:p>
    <w:p w:rsidR="00D224DE" w:rsidRDefault="00D224DE" w:rsidP="00DC053B">
      <w:pPr>
        <w:spacing w:after="120"/>
        <w:ind w:left="720" w:firstLine="0"/>
      </w:pPr>
      <w:r>
        <w:rPr>
          <w:b/>
        </w:rPr>
        <w:t>“Stackable Credential”</w:t>
      </w:r>
      <w:r>
        <w:t xml:space="preserve"> </w:t>
      </w:r>
      <w:r w:rsidR="005C2DD3">
        <w:t xml:space="preserve">is </w:t>
      </w:r>
      <w:r w:rsidR="00371718">
        <w:t>a</w:t>
      </w:r>
      <w:r>
        <w:t xml:space="preserve"> </w:t>
      </w:r>
      <w:r w:rsidR="0093601C">
        <w:t xml:space="preserve">credential that combines units of study to accurately reflect </w:t>
      </w:r>
      <w:r w:rsidR="005C2DD3">
        <w:t xml:space="preserve">an accumulated body of knowledge, skills and abilities.  </w:t>
      </w:r>
    </w:p>
    <w:p w:rsidR="00371718" w:rsidRDefault="009F08A8" w:rsidP="00DC053B">
      <w:pPr>
        <w:spacing w:after="120"/>
        <w:ind w:left="720" w:firstLine="0"/>
      </w:pPr>
      <w:r>
        <w:rPr>
          <w:b/>
        </w:rPr>
        <w:t>“Stack</w:t>
      </w:r>
      <w:r w:rsidR="00503483">
        <w:rPr>
          <w:b/>
        </w:rPr>
        <w:t>ing</w:t>
      </w:r>
      <w:r>
        <w:rPr>
          <w:b/>
        </w:rPr>
        <w:t>”</w:t>
      </w:r>
      <w:r>
        <w:t xml:space="preserve"> refers to the practice of assembling, or stacking, </w:t>
      </w:r>
      <w:r w:rsidR="005C2DD3">
        <w:t>units of study</w:t>
      </w:r>
      <w:r w:rsidR="00371718">
        <w:t>.</w:t>
      </w:r>
    </w:p>
    <w:p w:rsidR="001C7DBE" w:rsidRPr="001C7DBE" w:rsidRDefault="001C7DBE" w:rsidP="00DC053B">
      <w:pPr>
        <w:spacing w:after="120"/>
        <w:ind w:left="720" w:firstLine="0"/>
      </w:pPr>
      <w:r>
        <w:rPr>
          <w:b/>
        </w:rPr>
        <w:t>“Value-Added Stacking”</w:t>
      </w:r>
      <w:r>
        <w:t xml:space="preserve"> combines the concepts of h</w:t>
      </w:r>
      <w:r w:rsidR="00000C54">
        <w:t xml:space="preserve">orizontal and vertical stacking while allowing for additional, non-related units of study to be added.  </w:t>
      </w:r>
    </w:p>
    <w:p w:rsidR="001C7DBE" w:rsidRPr="001C7DBE" w:rsidRDefault="001C7DBE" w:rsidP="00DC053B">
      <w:pPr>
        <w:spacing w:after="120"/>
        <w:ind w:left="720" w:firstLine="0"/>
      </w:pPr>
      <w:r>
        <w:rPr>
          <w:b/>
        </w:rPr>
        <w:t>“Vertical Stacking”</w:t>
      </w:r>
      <w:r>
        <w:t xml:space="preserve"> refers to the stacking of units of study in an explicit hierarchical order guided by prerequisite accomplishments. </w:t>
      </w:r>
    </w:p>
    <w:p w:rsidR="006508B6" w:rsidRPr="009F08A8" w:rsidRDefault="006508B6" w:rsidP="00DC053B">
      <w:pPr>
        <w:spacing w:after="120"/>
        <w:ind w:left="720" w:firstLine="0"/>
      </w:pPr>
    </w:p>
    <w:p w:rsidR="00577817" w:rsidRPr="00C637FA" w:rsidRDefault="00577817" w:rsidP="000E4733">
      <w:pPr>
        <w:spacing w:after="120"/>
        <w:ind w:firstLine="0"/>
        <w:rPr>
          <w:b/>
        </w:rPr>
      </w:pPr>
      <w:r w:rsidRPr="00C637FA">
        <w:rPr>
          <w:b/>
        </w:rPr>
        <w:t>SCOPE AND AUTHORITY</w:t>
      </w:r>
    </w:p>
    <w:p w:rsidR="002F1A02" w:rsidRDefault="003868B1" w:rsidP="00347BFC">
      <w:pPr>
        <w:pStyle w:val="ListParagraph"/>
        <w:numPr>
          <w:ilvl w:val="0"/>
          <w:numId w:val="2"/>
        </w:numPr>
        <w:spacing w:after="120"/>
        <w:contextualSpacing w:val="0"/>
      </w:pPr>
      <w:r>
        <w:t>This P</w:t>
      </w:r>
      <w:r w:rsidR="000A4F87">
        <w:t xml:space="preserve">olicy applies to </w:t>
      </w:r>
      <w:r w:rsidR="00000C54">
        <w:t xml:space="preserve">digital </w:t>
      </w:r>
      <w:r w:rsidR="003200DE">
        <w:t xml:space="preserve">badges and </w:t>
      </w:r>
      <w:proofErr w:type="spellStart"/>
      <w:r w:rsidR="003200DE">
        <w:t>microcredentials</w:t>
      </w:r>
      <w:proofErr w:type="spellEnd"/>
      <w:r w:rsidR="003200DE">
        <w:t xml:space="preserve"> issued by Ontario Tech University earned through </w:t>
      </w:r>
      <w:r w:rsidR="002D1BD6">
        <w:t xml:space="preserve">not-for-academic credit </w:t>
      </w:r>
      <w:r w:rsidR="003200DE">
        <w:t>activities.</w:t>
      </w:r>
    </w:p>
    <w:p w:rsidR="00347BFC" w:rsidRDefault="00347BFC" w:rsidP="00347BFC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The </w:t>
      </w:r>
      <w:r w:rsidR="003200DE">
        <w:t>Provost,</w:t>
      </w:r>
      <w:r w:rsidR="008C364E">
        <w:t xml:space="preserve"> or successor thereof, is the Policy Owner and is responsible for overseeing the implementation, administration and interpretation of this Policy. </w:t>
      </w:r>
      <w:r>
        <w:t xml:space="preserve"> </w:t>
      </w:r>
    </w:p>
    <w:p w:rsidR="00347BFC" w:rsidRDefault="00347BFC" w:rsidP="000E4733">
      <w:pPr>
        <w:spacing w:after="120"/>
        <w:ind w:firstLine="0"/>
        <w:rPr>
          <w:b/>
        </w:rPr>
      </w:pPr>
    </w:p>
    <w:p w:rsidR="002F1A02" w:rsidRPr="00A47687" w:rsidRDefault="00940BF3" w:rsidP="000E4733">
      <w:pPr>
        <w:spacing w:after="120"/>
        <w:ind w:firstLine="0"/>
        <w:rPr>
          <w:b/>
        </w:rPr>
      </w:pPr>
      <w:r w:rsidRPr="00C637FA">
        <w:rPr>
          <w:b/>
        </w:rPr>
        <w:t>POLICY</w:t>
      </w:r>
    </w:p>
    <w:p w:rsidR="00347BFC" w:rsidRPr="00A47687" w:rsidRDefault="00A47687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Requirements</w:t>
      </w:r>
    </w:p>
    <w:p w:rsidR="00DB4041" w:rsidRPr="00A47687" w:rsidRDefault="00126668" w:rsidP="00DB4041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 xml:space="preserve">Badges, </w:t>
      </w:r>
      <w:proofErr w:type="spellStart"/>
      <w:r>
        <w:t>Microcredentials</w:t>
      </w:r>
      <w:proofErr w:type="spellEnd"/>
      <w:r>
        <w:t>, and Stackable Credentials</w:t>
      </w:r>
      <w:r w:rsidR="00A47687">
        <w:t xml:space="preserve"> must be awarded on the basis of the achievement of outc</w:t>
      </w:r>
      <w:r>
        <w:t>omes appropriate to their level</w:t>
      </w:r>
      <w:r w:rsidR="00A47687">
        <w:t xml:space="preserve"> and not just </w:t>
      </w:r>
      <w:r>
        <w:t>in recognition of</w:t>
      </w:r>
      <w:r w:rsidR="00A47687">
        <w:t xml:space="preserve"> participation.</w:t>
      </w:r>
    </w:p>
    <w:p w:rsidR="00126668" w:rsidRPr="00126668" w:rsidRDefault="00A47687" w:rsidP="00DB4041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proofErr w:type="spellStart"/>
      <w:r>
        <w:t>Microcredentials</w:t>
      </w:r>
      <w:proofErr w:type="spellEnd"/>
      <w:r>
        <w:t xml:space="preserve"> may be standalone </w:t>
      </w:r>
      <w:r w:rsidR="00126668">
        <w:t>or grouped to contribute to a Badge or Stackable Credential.</w:t>
      </w:r>
    </w:p>
    <w:p w:rsidR="00126668" w:rsidRPr="00126668" w:rsidRDefault="006C3602" w:rsidP="00DB4041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 xml:space="preserve">The </w:t>
      </w:r>
      <w:proofErr w:type="spellStart"/>
      <w:r w:rsidR="00126668">
        <w:t>Microcredentials</w:t>
      </w:r>
      <w:proofErr w:type="spellEnd"/>
      <w:r w:rsidR="00126668">
        <w:t xml:space="preserve"> </w:t>
      </w:r>
      <w:r>
        <w:t xml:space="preserve">being considered herein are only those which are </w:t>
      </w:r>
      <w:r w:rsidR="00126668">
        <w:t>no</w:t>
      </w:r>
      <w:r w:rsidR="00FC31FD">
        <w:t>t</w:t>
      </w:r>
      <w:r w:rsidR="00126668">
        <w:t>-</w:t>
      </w:r>
      <w:r w:rsidR="00FC31FD">
        <w:t>for-</w:t>
      </w:r>
      <w:r w:rsidR="00126668">
        <w:t>academic</w:t>
      </w:r>
      <w:r w:rsidR="00FC31FD">
        <w:t xml:space="preserve"> credit</w:t>
      </w:r>
      <w:r w:rsidR="00126668">
        <w:t xml:space="preserve"> in nature.</w:t>
      </w:r>
    </w:p>
    <w:p w:rsidR="00126668" w:rsidRDefault="0036120A" w:rsidP="00DB52B6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>Stackable Credentials</w:t>
      </w:r>
      <w:r w:rsidR="00126668">
        <w:t xml:space="preserve"> may or may not require prerequisite qualifications.</w:t>
      </w:r>
      <w:r>
        <w:t xml:space="preserve">  This will be dictated by the approach (i.e., Horizontal, Value-Added, or Vertical Stacking) taken to create the credential.</w:t>
      </w:r>
    </w:p>
    <w:p w:rsidR="00DB52B6" w:rsidRPr="00DB52B6" w:rsidRDefault="00DB52B6" w:rsidP="00DB52B6">
      <w:pPr>
        <w:pStyle w:val="ListParagraph"/>
        <w:spacing w:after="120"/>
        <w:ind w:left="1800" w:firstLine="0"/>
        <w:contextualSpacing w:val="0"/>
        <w:rPr>
          <w:b/>
        </w:rPr>
      </w:pPr>
    </w:p>
    <w:p w:rsidR="00347BFC" w:rsidRDefault="00126668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Delivery</w:t>
      </w:r>
    </w:p>
    <w:p w:rsidR="00973187" w:rsidRPr="00DB52B6" w:rsidRDefault="00126668" w:rsidP="00973187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proofErr w:type="spellStart"/>
      <w:r>
        <w:t>Microcredentials</w:t>
      </w:r>
      <w:proofErr w:type="spellEnd"/>
      <w:r>
        <w:t xml:space="preserve"> may be delivered face-to-face, online, by distance, or through a combination of these methods.</w:t>
      </w:r>
    </w:p>
    <w:p w:rsidR="00DB52B6" w:rsidRPr="00347BFC" w:rsidRDefault="00DB52B6" w:rsidP="00DB52B6">
      <w:pPr>
        <w:pStyle w:val="ListParagraph"/>
        <w:spacing w:after="120"/>
        <w:ind w:left="1800" w:firstLine="0"/>
        <w:contextualSpacing w:val="0"/>
        <w:rPr>
          <w:b/>
        </w:rPr>
      </w:pPr>
    </w:p>
    <w:p w:rsidR="00DB52B6" w:rsidRDefault="00DB52B6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Development and Approval for </w:t>
      </w:r>
      <w:r w:rsidR="00B64564">
        <w:rPr>
          <w:b/>
        </w:rPr>
        <w:t>Not-for-Academic</w:t>
      </w:r>
      <w:r>
        <w:rPr>
          <w:b/>
        </w:rPr>
        <w:t xml:space="preserve"> Credit</w:t>
      </w:r>
      <w:r w:rsidR="00B64564">
        <w:rPr>
          <w:b/>
        </w:rPr>
        <w:t xml:space="preserve"> Digital Badges, </w:t>
      </w:r>
      <w:proofErr w:type="spellStart"/>
      <w:r w:rsidR="00B64564">
        <w:rPr>
          <w:b/>
        </w:rPr>
        <w:t>Microcredentials</w:t>
      </w:r>
      <w:proofErr w:type="spellEnd"/>
      <w:r w:rsidR="00B64564">
        <w:rPr>
          <w:b/>
        </w:rPr>
        <w:t>, and Stackable Credentials</w:t>
      </w:r>
    </w:p>
    <w:p w:rsidR="00C604F0" w:rsidRDefault="00DB52B6" w:rsidP="00C604F0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 xml:space="preserve">Proposals for new or changes to existing </w:t>
      </w:r>
      <w:r w:rsidR="002D1BD6">
        <w:t xml:space="preserve">not-for-academic credit </w:t>
      </w:r>
      <w:proofErr w:type="spellStart"/>
      <w:r>
        <w:t>microcredentials</w:t>
      </w:r>
      <w:proofErr w:type="spellEnd"/>
      <w:r>
        <w:t xml:space="preserve">, badges, or stackable credentials must be </w:t>
      </w:r>
      <w:r w:rsidR="003954C5">
        <w:t xml:space="preserve">reviewed </w:t>
      </w:r>
      <w:r>
        <w:t xml:space="preserve">by the </w:t>
      </w:r>
      <w:r w:rsidR="00C75A79">
        <w:t xml:space="preserve">Not-For-Academic Credit </w:t>
      </w:r>
      <w:proofErr w:type="spellStart"/>
      <w:r>
        <w:t>Microcredentials</w:t>
      </w:r>
      <w:proofErr w:type="spellEnd"/>
      <w:r>
        <w:t xml:space="preserve"> Committee.</w:t>
      </w:r>
    </w:p>
    <w:p w:rsidR="00C604F0" w:rsidRDefault="00C604F0" w:rsidP="00C604F0">
      <w:pPr>
        <w:pStyle w:val="ListParagraph"/>
        <w:numPr>
          <w:ilvl w:val="1"/>
          <w:numId w:val="2"/>
        </w:numPr>
        <w:spacing w:after="120"/>
        <w:contextualSpacing w:val="0"/>
      </w:pPr>
      <w:r>
        <w:t>If there is an inten</w:t>
      </w:r>
      <w:r w:rsidR="00C75A79">
        <w:t>tion to develop or deliver a not-for-</w:t>
      </w:r>
      <w:r>
        <w:t>academic</w:t>
      </w:r>
      <w:r w:rsidR="00C75A79">
        <w:t xml:space="preserve"> credit</w:t>
      </w:r>
      <w:r w:rsidR="00FC31FD">
        <w:t xml:space="preserve"> </w:t>
      </w:r>
      <w:bookmarkStart w:id="0" w:name="_GoBack"/>
      <w:bookmarkEnd w:id="0"/>
      <w:proofErr w:type="spellStart"/>
      <w:r>
        <w:t>microcredential</w:t>
      </w:r>
      <w:proofErr w:type="spellEnd"/>
      <w:r>
        <w:t>, badge, or stackable credential in conjunction with another unit or third-party, the proposal must include details of the respective roles of the parties in the development and delivery of the credential.</w:t>
      </w:r>
    </w:p>
    <w:p w:rsidR="00C604F0" w:rsidRDefault="00C75A79" w:rsidP="00C75A79">
      <w:pPr>
        <w:spacing w:after="120"/>
        <w:ind w:left="1800" w:hanging="720"/>
      </w:pPr>
      <w:r w:rsidRPr="00C75A79">
        <w:rPr>
          <w:b/>
        </w:rPr>
        <w:t>7.3</w:t>
      </w:r>
      <w:r>
        <w:tab/>
      </w:r>
      <w:r w:rsidR="00C604F0">
        <w:t xml:space="preserve">The </w:t>
      </w:r>
      <w:r>
        <w:t xml:space="preserve">Not-for-Academic Credit </w:t>
      </w:r>
      <w:proofErr w:type="spellStart"/>
      <w:r w:rsidR="00C604F0">
        <w:t>Microcredentials</w:t>
      </w:r>
      <w:proofErr w:type="spellEnd"/>
      <w:r w:rsidR="00C604F0">
        <w:t xml:space="preserve"> Committee </w:t>
      </w:r>
      <w:r w:rsidR="006C3602">
        <w:t>monitors the</w:t>
      </w:r>
      <w:r w:rsidR="00C604F0">
        <w:t xml:space="preserve"> ongoing quality assurance of any </w:t>
      </w:r>
      <w:r>
        <w:t xml:space="preserve">not-for-credit </w:t>
      </w:r>
      <w:r w:rsidR="00C604F0">
        <w:t xml:space="preserve">academic badge, </w:t>
      </w:r>
      <w:proofErr w:type="spellStart"/>
      <w:r w:rsidR="00C604F0">
        <w:t>microcredential</w:t>
      </w:r>
      <w:proofErr w:type="spellEnd"/>
      <w:r w:rsidR="00C604F0">
        <w:t>, or stackable credential developed.</w:t>
      </w:r>
      <w:r w:rsidR="0036120A">
        <w:t xml:space="preserve">  Regular reviews should take place every three years so as to ensure the content is current and aligned with ever changing user needs.</w:t>
      </w:r>
    </w:p>
    <w:p w:rsidR="00C604F0" w:rsidRPr="00DB52B6" w:rsidRDefault="00C604F0" w:rsidP="00C604F0">
      <w:pPr>
        <w:pStyle w:val="ListParagraph"/>
        <w:spacing w:after="120"/>
        <w:ind w:left="1800" w:firstLine="0"/>
        <w:contextualSpacing w:val="0"/>
        <w:rPr>
          <w:b/>
        </w:rPr>
      </w:pPr>
    </w:p>
    <w:p w:rsidR="00054D5E" w:rsidRPr="00BB29B8" w:rsidRDefault="009126F8" w:rsidP="009126F8">
      <w:pPr>
        <w:spacing w:after="120"/>
        <w:ind w:firstLine="0"/>
        <w:rPr>
          <w:b/>
        </w:rPr>
      </w:pPr>
      <w:r>
        <w:rPr>
          <w:b/>
        </w:rPr>
        <w:t>MONITORING AND REVIEW</w:t>
      </w:r>
    </w:p>
    <w:p w:rsidR="00347BFC" w:rsidRPr="009126F8" w:rsidRDefault="003868B1" w:rsidP="000E4733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>This P</w:t>
      </w:r>
      <w:r w:rsidR="009126F8">
        <w:t xml:space="preserve">olicy will be reviewed </w:t>
      </w:r>
      <w:r w:rsidR="00197EBC">
        <w:t xml:space="preserve">as necessary and at least </w:t>
      </w:r>
      <w:r w:rsidR="009126F8">
        <w:t xml:space="preserve">every three years.  The </w:t>
      </w:r>
      <w:r w:rsidR="003200DE">
        <w:t>Provost</w:t>
      </w:r>
      <w:r w:rsidR="00197EBC">
        <w:t>, or successor thereof, is responsible to monitor and review this Policy.</w:t>
      </w:r>
    </w:p>
    <w:p w:rsidR="009126F8" w:rsidRDefault="009126F8" w:rsidP="009126F8">
      <w:pPr>
        <w:pStyle w:val="ListParagraph"/>
        <w:spacing w:after="120"/>
        <w:ind w:firstLine="0"/>
        <w:contextualSpacing w:val="0"/>
        <w:rPr>
          <w:b/>
        </w:rPr>
      </w:pPr>
    </w:p>
    <w:p w:rsidR="009126F8" w:rsidRDefault="009126F8" w:rsidP="003200DE">
      <w:pPr>
        <w:spacing w:after="120"/>
        <w:ind w:firstLine="0"/>
        <w:rPr>
          <w:b/>
        </w:rPr>
      </w:pPr>
      <w:r>
        <w:rPr>
          <w:b/>
        </w:rPr>
        <w:t>RELEVANT LEGISLATION</w:t>
      </w:r>
    </w:p>
    <w:p w:rsidR="00FD5EFB" w:rsidRPr="003200DE" w:rsidRDefault="00B54D6B" w:rsidP="009126F8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University of Ontario Institute of Technology Act, 2002, S.O. 2002, c. 8, Sch. 0</w:t>
      </w:r>
    </w:p>
    <w:p w:rsidR="003200DE" w:rsidRPr="003200DE" w:rsidRDefault="003200DE" w:rsidP="003200DE">
      <w:pPr>
        <w:pStyle w:val="ListParagraph"/>
        <w:spacing w:after="120"/>
        <w:ind w:firstLine="0"/>
        <w:rPr>
          <w:b/>
        </w:rPr>
      </w:pPr>
    </w:p>
    <w:p w:rsidR="009126F8" w:rsidRPr="009126F8" w:rsidRDefault="009126F8" w:rsidP="009126F8">
      <w:pPr>
        <w:spacing w:after="120"/>
        <w:ind w:firstLine="0"/>
        <w:rPr>
          <w:b/>
        </w:rPr>
      </w:pPr>
      <w:r>
        <w:rPr>
          <w:b/>
        </w:rPr>
        <w:t>RELATED POLICIES, PROCEDURES &amp; DOCUMENTS</w:t>
      </w:r>
    </w:p>
    <w:p w:rsidR="00F41EAB" w:rsidRDefault="00B54D6B" w:rsidP="00371718">
      <w:pPr>
        <w:pStyle w:val="ListParagraph"/>
        <w:numPr>
          <w:ilvl w:val="0"/>
          <w:numId w:val="2"/>
        </w:numPr>
        <w:spacing w:after="120"/>
        <w:contextualSpacing w:val="0"/>
      </w:pPr>
      <w:r>
        <w:t>Program Nomenclature Directives</w:t>
      </w:r>
    </w:p>
    <w:p w:rsidR="00CE7FDD" w:rsidRPr="009126F8" w:rsidRDefault="00CE7FDD" w:rsidP="009126F8">
      <w:pPr>
        <w:spacing w:after="120"/>
        <w:rPr>
          <w:b/>
        </w:rPr>
      </w:pPr>
    </w:p>
    <w:sectPr w:rsidR="00CE7FDD" w:rsidRPr="009126F8" w:rsidSect="00DC1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FF" w:rsidRDefault="002A70FF" w:rsidP="00F41EAB">
      <w:r>
        <w:separator/>
      </w:r>
    </w:p>
  </w:endnote>
  <w:endnote w:type="continuationSeparator" w:id="0">
    <w:p w:rsidR="002A70FF" w:rsidRDefault="002A70FF" w:rsidP="00F4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43" w:rsidRDefault="00F14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609234"/>
      <w:docPartObj>
        <w:docPartGallery w:val="Page Numbers (Bottom of Page)"/>
        <w:docPartUnique/>
      </w:docPartObj>
    </w:sdtPr>
    <w:sdtEndPr/>
    <w:sdtContent>
      <w:sdt>
        <w:sdtPr>
          <w:id w:val="1509091937"/>
          <w:docPartObj>
            <w:docPartGallery w:val="Page Numbers (Top of Page)"/>
            <w:docPartUnique/>
          </w:docPartObj>
        </w:sdtPr>
        <w:sdtEndPr/>
        <w:sdtContent>
          <w:p w:rsidR="00E0751F" w:rsidRPr="00BA7777" w:rsidRDefault="00E0751F">
            <w:pPr>
              <w:pStyle w:val="Footer"/>
              <w:jc w:val="right"/>
            </w:pPr>
            <w:r w:rsidRPr="00BA7777">
              <w:t xml:space="preserve">Page </w:t>
            </w:r>
            <w:r w:rsidRPr="00BA7777">
              <w:rPr>
                <w:bCs/>
                <w:sz w:val="24"/>
                <w:szCs w:val="24"/>
              </w:rPr>
              <w:fldChar w:fldCharType="begin"/>
            </w:r>
            <w:r w:rsidRPr="00BA7777">
              <w:rPr>
                <w:bCs/>
              </w:rPr>
              <w:instrText xml:space="preserve"> PAGE </w:instrText>
            </w:r>
            <w:r w:rsidRPr="00BA7777">
              <w:rPr>
                <w:bCs/>
                <w:sz w:val="24"/>
                <w:szCs w:val="24"/>
              </w:rPr>
              <w:fldChar w:fldCharType="separate"/>
            </w:r>
            <w:r w:rsidR="00FC31FD">
              <w:rPr>
                <w:bCs/>
                <w:noProof/>
              </w:rPr>
              <w:t>3</w:t>
            </w:r>
            <w:r w:rsidRPr="00BA7777">
              <w:rPr>
                <w:bCs/>
                <w:sz w:val="24"/>
                <w:szCs w:val="24"/>
              </w:rPr>
              <w:fldChar w:fldCharType="end"/>
            </w:r>
            <w:r w:rsidRPr="00BA7777">
              <w:t xml:space="preserve"> of </w:t>
            </w:r>
            <w:r w:rsidRPr="00BA7777">
              <w:rPr>
                <w:bCs/>
                <w:sz w:val="24"/>
                <w:szCs w:val="24"/>
              </w:rPr>
              <w:fldChar w:fldCharType="begin"/>
            </w:r>
            <w:r w:rsidRPr="00BA7777">
              <w:rPr>
                <w:bCs/>
              </w:rPr>
              <w:instrText xml:space="preserve"> NUMPAGES  </w:instrText>
            </w:r>
            <w:r w:rsidRPr="00BA7777">
              <w:rPr>
                <w:bCs/>
                <w:sz w:val="24"/>
                <w:szCs w:val="24"/>
              </w:rPr>
              <w:fldChar w:fldCharType="separate"/>
            </w:r>
            <w:r w:rsidR="00FC31FD">
              <w:rPr>
                <w:bCs/>
                <w:noProof/>
              </w:rPr>
              <w:t>3</w:t>
            </w:r>
            <w:r w:rsidRPr="00BA777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751F" w:rsidRDefault="002A70FF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BA7777">
      <w:rPr>
        <w:noProof/>
      </w:rPr>
      <w:t>Draft Policy - Template (September 2014).docx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252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751F" w:rsidRPr="00D96BE3" w:rsidRDefault="00E0751F">
            <w:pPr>
              <w:pStyle w:val="Footer"/>
              <w:jc w:val="right"/>
            </w:pPr>
            <w:r w:rsidRPr="00D96BE3">
              <w:t xml:space="preserve">Page </w:t>
            </w:r>
            <w:r w:rsidRPr="00D96BE3">
              <w:rPr>
                <w:bCs/>
                <w:sz w:val="24"/>
                <w:szCs w:val="24"/>
              </w:rPr>
              <w:fldChar w:fldCharType="begin"/>
            </w:r>
            <w:r w:rsidRPr="00D96BE3">
              <w:rPr>
                <w:bCs/>
              </w:rPr>
              <w:instrText xml:space="preserve"> PAGE </w:instrText>
            </w:r>
            <w:r w:rsidRPr="00D96BE3">
              <w:rPr>
                <w:bCs/>
                <w:sz w:val="24"/>
                <w:szCs w:val="24"/>
              </w:rPr>
              <w:fldChar w:fldCharType="separate"/>
            </w:r>
            <w:r w:rsidR="002D1BD6">
              <w:rPr>
                <w:bCs/>
                <w:noProof/>
              </w:rPr>
              <w:t>1</w:t>
            </w:r>
            <w:r w:rsidRPr="00D96BE3">
              <w:rPr>
                <w:bCs/>
                <w:sz w:val="24"/>
                <w:szCs w:val="24"/>
              </w:rPr>
              <w:fldChar w:fldCharType="end"/>
            </w:r>
            <w:r w:rsidRPr="00D96BE3">
              <w:t xml:space="preserve"> of </w:t>
            </w:r>
            <w:r w:rsidRPr="00D96BE3">
              <w:rPr>
                <w:bCs/>
                <w:sz w:val="24"/>
                <w:szCs w:val="24"/>
              </w:rPr>
              <w:fldChar w:fldCharType="begin"/>
            </w:r>
            <w:r w:rsidRPr="00D96BE3">
              <w:rPr>
                <w:bCs/>
              </w:rPr>
              <w:instrText xml:space="preserve"> NUMPAGES  </w:instrText>
            </w:r>
            <w:r w:rsidRPr="00D96BE3">
              <w:rPr>
                <w:bCs/>
                <w:sz w:val="24"/>
                <w:szCs w:val="24"/>
              </w:rPr>
              <w:fldChar w:fldCharType="separate"/>
            </w:r>
            <w:r w:rsidR="002D1BD6">
              <w:rPr>
                <w:bCs/>
                <w:noProof/>
              </w:rPr>
              <w:t>3</w:t>
            </w:r>
            <w:r w:rsidRPr="00D96BE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751F" w:rsidRDefault="003D7AA4">
    <w:pPr>
      <w:pStyle w:val="Footer"/>
    </w:pPr>
    <w:r>
      <w:t>Policy Framework Procedures Appendix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FF" w:rsidRDefault="002A70FF" w:rsidP="00F41EAB">
      <w:r>
        <w:separator/>
      </w:r>
    </w:p>
  </w:footnote>
  <w:footnote w:type="continuationSeparator" w:id="0">
    <w:p w:rsidR="002A70FF" w:rsidRDefault="002A70FF" w:rsidP="00F4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43" w:rsidRDefault="00F14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602166"/>
      <w:docPartObj>
        <w:docPartGallery w:val="Watermarks"/>
        <w:docPartUnique/>
      </w:docPartObj>
    </w:sdtPr>
    <w:sdtEndPr/>
    <w:sdtContent>
      <w:p w:rsidR="00187EA6" w:rsidRDefault="002A70FF" w:rsidP="00C858E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E0751F" w:rsidRDefault="00E0751F" w:rsidP="00E0751F">
    <w:pPr>
      <w:pStyle w:val="Header"/>
      <w:tabs>
        <w:tab w:val="clear" w:pos="4680"/>
        <w:tab w:val="clear" w:pos="9360"/>
        <w:tab w:val="left" w:pos="7845"/>
      </w:tabs>
    </w:pPr>
    <w:r>
      <w:tab/>
    </w:r>
  </w:p>
  <w:p w:rsidR="00187EA6" w:rsidRDefault="00187EA6" w:rsidP="00E0751F">
    <w:pPr>
      <w:pStyle w:val="Header"/>
      <w:tabs>
        <w:tab w:val="clear" w:pos="4680"/>
        <w:tab w:val="clear" w:pos="9360"/>
        <w:tab w:val="left" w:pos="78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9" w:type="dxa"/>
      <w:tblInd w:w="4739" w:type="dxa"/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276"/>
      <w:gridCol w:w="2993"/>
    </w:tblGrid>
    <w:tr w:rsidR="00187EA6" w:rsidTr="00F07BE6">
      <w:tc>
        <w:tcPr>
          <w:tcW w:w="2276" w:type="dxa"/>
          <w:shd w:val="clear" w:color="auto" w:fill="DBE5F1" w:themeFill="accent1" w:themeFillTint="33"/>
        </w:tcPr>
        <w:p w:rsidR="00187EA6" w:rsidRPr="00C77A8A" w:rsidRDefault="00AD13F2" w:rsidP="003D7AA4">
          <w:pPr>
            <w:pStyle w:val="Header"/>
            <w:ind w:firstLine="0"/>
          </w:pPr>
          <w:r>
            <w:t>Classification</w:t>
          </w:r>
          <w:r w:rsidR="00746A2C">
            <w:t xml:space="preserve"> </w:t>
          </w:r>
          <w:r w:rsidR="003D7AA4">
            <w:t>Number</w:t>
          </w:r>
        </w:p>
      </w:tc>
      <w:tc>
        <w:tcPr>
          <w:tcW w:w="2993" w:type="dxa"/>
          <w:shd w:val="clear" w:color="auto" w:fill="DBE5F1" w:themeFill="accent1" w:themeFillTint="33"/>
        </w:tcPr>
        <w:p w:rsidR="00187EA6" w:rsidRPr="00F07BE6" w:rsidRDefault="00F07BE6" w:rsidP="00054D5E">
          <w:pPr>
            <w:pStyle w:val="Header"/>
            <w:ind w:firstLine="0"/>
            <w:rPr>
              <w:i/>
            </w:rPr>
          </w:pPr>
          <w:r>
            <w:rPr>
              <w:i/>
            </w:rPr>
            <w:t>To be assigned by Policy Office</w:t>
          </w:r>
        </w:p>
      </w:tc>
    </w:tr>
    <w:tr w:rsidR="00F07BE6" w:rsidTr="00F07BE6">
      <w:tc>
        <w:tcPr>
          <w:tcW w:w="2276" w:type="dxa"/>
          <w:shd w:val="clear" w:color="auto" w:fill="DBE5F1" w:themeFill="accent1" w:themeFillTint="33"/>
        </w:tcPr>
        <w:p w:rsidR="00F07BE6" w:rsidRPr="00C77A8A" w:rsidRDefault="00F07BE6" w:rsidP="00F07BE6">
          <w:pPr>
            <w:pStyle w:val="Header"/>
            <w:ind w:firstLine="0"/>
          </w:pPr>
          <w:r>
            <w:t>Framework Category</w:t>
          </w:r>
        </w:p>
      </w:tc>
      <w:tc>
        <w:tcPr>
          <w:tcW w:w="2993" w:type="dxa"/>
          <w:shd w:val="clear" w:color="auto" w:fill="DBE5F1" w:themeFill="accent1" w:themeFillTint="33"/>
        </w:tcPr>
        <w:p w:rsidR="00F07BE6" w:rsidRPr="00F07BE6" w:rsidRDefault="00F07BE6" w:rsidP="00F07BE6">
          <w:pPr>
            <w:pStyle w:val="Header"/>
            <w:ind w:firstLine="0"/>
            <w:rPr>
              <w:i/>
            </w:rPr>
          </w:pPr>
          <w:r>
            <w:rPr>
              <w:i/>
            </w:rPr>
            <w:t>To be assigned by Policy Office</w:t>
          </w:r>
        </w:p>
      </w:tc>
    </w:tr>
    <w:tr w:rsidR="00F07BE6" w:rsidTr="00F07BE6">
      <w:tc>
        <w:tcPr>
          <w:tcW w:w="2276" w:type="dxa"/>
          <w:shd w:val="clear" w:color="auto" w:fill="DBE5F1" w:themeFill="accent1" w:themeFillTint="33"/>
        </w:tcPr>
        <w:p w:rsidR="00F07BE6" w:rsidRPr="00C77A8A" w:rsidRDefault="00F07BE6" w:rsidP="00F07BE6">
          <w:pPr>
            <w:pStyle w:val="Header"/>
            <w:ind w:firstLine="0"/>
          </w:pPr>
          <w:r>
            <w:t>Approving Authority</w:t>
          </w:r>
        </w:p>
      </w:tc>
      <w:tc>
        <w:tcPr>
          <w:tcW w:w="2993" w:type="dxa"/>
          <w:shd w:val="clear" w:color="auto" w:fill="DBE5F1" w:themeFill="accent1" w:themeFillTint="33"/>
        </w:tcPr>
        <w:p w:rsidR="00F07BE6" w:rsidRPr="00F07BE6" w:rsidRDefault="00F07BE6" w:rsidP="00F07BE6">
          <w:pPr>
            <w:pStyle w:val="Header"/>
            <w:ind w:firstLine="0"/>
            <w:rPr>
              <w:i/>
            </w:rPr>
          </w:pPr>
          <w:r>
            <w:rPr>
              <w:i/>
            </w:rPr>
            <w:t>To be assigned by Policy Office</w:t>
          </w:r>
        </w:p>
      </w:tc>
    </w:tr>
    <w:tr w:rsidR="00F07BE6" w:rsidTr="00F07BE6">
      <w:tc>
        <w:tcPr>
          <w:tcW w:w="2276" w:type="dxa"/>
          <w:shd w:val="clear" w:color="auto" w:fill="DBE5F1" w:themeFill="accent1" w:themeFillTint="33"/>
        </w:tcPr>
        <w:p w:rsidR="00F07BE6" w:rsidRPr="00C77A8A" w:rsidRDefault="00F07BE6" w:rsidP="00F07BE6">
          <w:pPr>
            <w:pStyle w:val="Header"/>
            <w:ind w:firstLine="0"/>
          </w:pPr>
          <w:r>
            <w:t>Policy Owner</w:t>
          </w:r>
        </w:p>
      </w:tc>
      <w:tc>
        <w:tcPr>
          <w:tcW w:w="2993" w:type="dxa"/>
          <w:shd w:val="clear" w:color="auto" w:fill="DBE5F1" w:themeFill="accent1" w:themeFillTint="33"/>
        </w:tcPr>
        <w:p w:rsidR="00F07BE6" w:rsidRPr="00C77A8A" w:rsidRDefault="00177754" w:rsidP="00F07BE6">
          <w:pPr>
            <w:pStyle w:val="Header"/>
            <w:ind w:firstLine="0"/>
          </w:pPr>
          <w:r>
            <w:t>Provost and Vice-President, Academic</w:t>
          </w:r>
        </w:p>
      </w:tc>
    </w:tr>
    <w:tr w:rsidR="00F07BE6" w:rsidTr="00F07BE6">
      <w:tc>
        <w:tcPr>
          <w:tcW w:w="2276" w:type="dxa"/>
          <w:shd w:val="clear" w:color="auto" w:fill="DBE5F1" w:themeFill="accent1" w:themeFillTint="33"/>
        </w:tcPr>
        <w:p w:rsidR="00F07BE6" w:rsidRPr="00C77A8A" w:rsidRDefault="00F07BE6" w:rsidP="00F07BE6">
          <w:pPr>
            <w:pStyle w:val="Header"/>
            <w:ind w:firstLine="0"/>
          </w:pPr>
          <w:r>
            <w:t>Approval Date</w:t>
          </w:r>
        </w:p>
      </w:tc>
      <w:tc>
        <w:tcPr>
          <w:tcW w:w="2993" w:type="dxa"/>
          <w:shd w:val="clear" w:color="auto" w:fill="DBE5F1" w:themeFill="accent1" w:themeFillTint="33"/>
        </w:tcPr>
        <w:p w:rsidR="00F07BE6" w:rsidRPr="00C77A8A" w:rsidRDefault="00F07BE6" w:rsidP="00F07BE6">
          <w:pPr>
            <w:pStyle w:val="Header"/>
            <w:ind w:firstLine="0"/>
          </w:pPr>
        </w:p>
      </w:tc>
    </w:tr>
    <w:tr w:rsidR="00F07BE6" w:rsidTr="00F07BE6">
      <w:tc>
        <w:tcPr>
          <w:tcW w:w="2276" w:type="dxa"/>
          <w:shd w:val="clear" w:color="auto" w:fill="DBE5F1" w:themeFill="accent1" w:themeFillTint="33"/>
        </w:tcPr>
        <w:p w:rsidR="00F07BE6" w:rsidRPr="00C77A8A" w:rsidRDefault="00F07BE6" w:rsidP="00F07BE6">
          <w:pPr>
            <w:pStyle w:val="Header"/>
            <w:ind w:firstLine="0"/>
          </w:pPr>
          <w:r>
            <w:t>Review Date</w:t>
          </w:r>
        </w:p>
      </w:tc>
      <w:tc>
        <w:tcPr>
          <w:tcW w:w="2993" w:type="dxa"/>
          <w:shd w:val="clear" w:color="auto" w:fill="DBE5F1" w:themeFill="accent1" w:themeFillTint="33"/>
        </w:tcPr>
        <w:p w:rsidR="00F07BE6" w:rsidRPr="00C77A8A" w:rsidRDefault="00F07BE6" w:rsidP="00F07BE6">
          <w:pPr>
            <w:pStyle w:val="Header"/>
            <w:ind w:firstLine="0"/>
          </w:pPr>
        </w:p>
      </w:tc>
    </w:tr>
    <w:tr w:rsidR="00F07BE6" w:rsidTr="00F07BE6">
      <w:tc>
        <w:tcPr>
          <w:tcW w:w="2276" w:type="dxa"/>
          <w:shd w:val="clear" w:color="auto" w:fill="DBE5F1" w:themeFill="accent1" w:themeFillTint="33"/>
        </w:tcPr>
        <w:p w:rsidR="00F07BE6" w:rsidRDefault="00F07BE6" w:rsidP="00F07BE6">
          <w:pPr>
            <w:pStyle w:val="Header"/>
            <w:ind w:firstLine="0"/>
          </w:pPr>
          <w:r>
            <w:t>Supersedes</w:t>
          </w:r>
        </w:p>
      </w:tc>
      <w:tc>
        <w:tcPr>
          <w:tcW w:w="2993" w:type="dxa"/>
          <w:shd w:val="clear" w:color="auto" w:fill="DBE5F1" w:themeFill="accent1" w:themeFillTint="33"/>
        </w:tcPr>
        <w:p w:rsidR="00F07BE6" w:rsidRPr="00C77A8A" w:rsidRDefault="00F07BE6" w:rsidP="00F07BE6">
          <w:pPr>
            <w:pStyle w:val="Header"/>
            <w:ind w:firstLine="0"/>
          </w:pPr>
        </w:p>
      </w:tc>
    </w:tr>
  </w:tbl>
  <w:p w:rsidR="00187EA6" w:rsidRDefault="00187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DC"/>
    <w:multiLevelType w:val="multilevel"/>
    <w:tmpl w:val="CCA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7A3D"/>
    <w:multiLevelType w:val="multilevel"/>
    <w:tmpl w:val="E54A02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F2BD1"/>
    <w:multiLevelType w:val="hybridMultilevel"/>
    <w:tmpl w:val="4970AB7A"/>
    <w:lvl w:ilvl="0" w:tplc="45F4167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105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C6FFB"/>
    <w:multiLevelType w:val="hybridMultilevel"/>
    <w:tmpl w:val="9CF010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9774E"/>
    <w:multiLevelType w:val="hybridMultilevel"/>
    <w:tmpl w:val="75DE3DFC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33DE"/>
    <w:multiLevelType w:val="hybridMultilevel"/>
    <w:tmpl w:val="16A407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5B2"/>
    <w:multiLevelType w:val="hybridMultilevel"/>
    <w:tmpl w:val="E5824EB6"/>
    <w:lvl w:ilvl="0" w:tplc="6F0A6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05CF"/>
    <w:multiLevelType w:val="hybridMultilevel"/>
    <w:tmpl w:val="F60CC7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51D5E"/>
    <w:multiLevelType w:val="multilevel"/>
    <w:tmpl w:val="0D48C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9E38D9"/>
    <w:multiLevelType w:val="hybridMultilevel"/>
    <w:tmpl w:val="1294140E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3991"/>
    <w:multiLevelType w:val="hybridMultilevel"/>
    <w:tmpl w:val="803E6BB4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B24C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EB6FC4"/>
    <w:multiLevelType w:val="hybridMultilevel"/>
    <w:tmpl w:val="01405C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B23F05"/>
    <w:multiLevelType w:val="hybridMultilevel"/>
    <w:tmpl w:val="D5CEDC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830B97"/>
    <w:multiLevelType w:val="hybridMultilevel"/>
    <w:tmpl w:val="83DE7C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82694D"/>
    <w:multiLevelType w:val="multilevel"/>
    <w:tmpl w:val="169CA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7" w15:restartNumberingAfterBreak="0">
    <w:nsid w:val="50006068"/>
    <w:multiLevelType w:val="multilevel"/>
    <w:tmpl w:val="E71EF9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0C1671"/>
    <w:multiLevelType w:val="hybridMultilevel"/>
    <w:tmpl w:val="408E1B2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90D74"/>
    <w:multiLevelType w:val="hybridMultilevel"/>
    <w:tmpl w:val="8AF0AD42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A054D19"/>
    <w:multiLevelType w:val="multilevel"/>
    <w:tmpl w:val="2034EA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935729"/>
    <w:multiLevelType w:val="hybridMultilevel"/>
    <w:tmpl w:val="3452B88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C1DA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5A7220"/>
    <w:multiLevelType w:val="multilevel"/>
    <w:tmpl w:val="054A43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 w15:restartNumberingAfterBreak="0">
    <w:nsid w:val="74DA0DD6"/>
    <w:multiLevelType w:val="hybridMultilevel"/>
    <w:tmpl w:val="FBE07B7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4259A"/>
    <w:multiLevelType w:val="hybridMultilevel"/>
    <w:tmpl w:val="4CB880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24"/>
  </w:num>
  <w:num w:numId="10">
    <w:abstractNumId w:val="10"/>
  </w:num>
  <w:num w:numId="11">
    <w:abstractNumId w:val="18"/>
  </w:num>
  <w:num w:numId="12">
    <w:abstractNumId w:val="5"/>
  </w:num>
  <w:num w:numId="13">
    <w:abstractNumId w:val="11"/>
  </w:num>
  <w:num w:numId="14">
    <w:abstractNumId w:val="21"/>
  </w:num>
  <w:num w:numId="15">
    <w:abstractNumId w:val="0"/>
  </w:num>
  <w:num w:numId="16">
    <w:abstractNumId w:val="19"/>
  </w:num>
  <w:num w:numId="17">
    <w:abstractNumId w:val="1"/>
  </w:num>
  <w:num w:numId="18">
    <w:abstractNumId w:val="3"/>
  </w:num>
  <w:num w:numId="19">
    <w:abstractNumId w:val="22"/>
  </w:num>
  <w:num w:numId="20">
    <w:abstractNumId w:val="25"/>
  </w:num>
  <w:num w:numId="21">
    <w:abstractNumId w:val="6"/>
  </w:num>
  <w:num w:numId="22">
    <w:abstractNumId w:val="4"/>
  </w:num>
  <w:num w:numId="23">
    <w:abstractNumId w:val="20"/>
  </w:num>
  <w:num w:numId="24">
    <w:abstractNumId w:val="9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24"/>
    <w:rsid w:val="00000C54"/>
    <w:rsid w:val="00005472"/>
    <w:rsid w:val="0000687B"/>
    <w:rsid w:val="00010537"/>
    <w:rsid w:val="0001697E"/>
    <w:rsid w:val="00030380"/>
    <w:rsid w:val="000321F3"/>
    <w:rsid w:val="000368ED"/>
    <w:rsid w:val="000413A6"/>
    <w:rsid w:val="000501FB"/>
    <w:rsid w:val="0005427A"/>
    <w:rsid w:val="00054D5E"/>
    <w:rsid w:val="00056ABF"/>
    <w:rsid w:val="00063185"/>
    <w:rsid w:val="00071EEC"/>
    <w:rsid w:val="00073AD9"/>
    <w:rsid w:val="00075AB8"/>
    <w:rsid w:val="00076AB6"/>
    <w:rsid w:val="00083064"/>
    <w:rsid w:val="00091EAF"/>
    <w:rsid w:val="00092575"/>
    <w:rsid w:val="00094487"/>
    <w:rsid w:val="000962DF"/>
    <w:rsid w:val="000A056E"/>
    <w:rsid w:val="000A4F87"/>
    <w:rsid w:val="000A5507"/>
    <w:rsid w:val="000A6BB0"/>
    <w:rsid w:val="000C3054"/>
    <w:rsid w:val="000C5FCE"/>
    <w:rsid w:val="000C7DB7"/>
    <w:rsid w:val="000D5F0F"/>
    <w:rsid w:val="000E4733"/>
    <w:rsid w:val="00103A0C"/>
    <w:rsid w:val="00107829"/>
    <w:rsid w:val="00107ECB"/>
    <w:rsid w:val="00111D59"/>
    <w:rsid w:val="00124186"/>
    <w:rsid w:val="00126668"/>
    <w:rsid w:val="0012695E"/>
    <w:rsid w:val="0013175E"/>
    <w:rsid w:val="00134456"/>
    <w:rsid w:val="00134E02"/>
    <w:rsid w:val="00144602"/>
    <w:rsid w:val="001605D4"/>
    <w:rsid w:val="001611D2"/>
    <w:rsid w:val="001643BE"/>
    <w:rsid w:val="001661A1"/>
    <w:rsid w:val="00171C0C"/>
    <w:rsid w:val="00175565"/>
    <w:rsid w:val="00177754"/>
    <w:rsid w:val="0018581C"/>
    <w:rsid w:val="00187EA6"/>
    <w:rsid w:val="00191A46"/>
    <w:rsid w:val="00193AEB"/>
    <w:rsid w:val="00197EBC"/>
    <w:rsid w:val="001A05C5"/>
    <w:rsid w:val="001A3B08"/>
    <w:rsid w:val="001A747A"/>
    <w:rsid w:val="001B3709"/>
    <w:rsid w:val="001C0846"/>
    <w:rsid w:val="001C0F38"/>
    <w:rsid w:val="001C6D1D"/>
    <w:rsid w:val="001C7DBE"/>
    <w:rsid w:val="001D78EF"/>
    <w:rsid w:val="001E7E01"/>
    <w:rsid w:val="001F1EEE"/>
    <w:rsid w:val="00202142"/>
    <w:rsid w:val="00212BAA"/>
    <w:rsid w:val="0021637C"/>
    <w:rsid w:val="00220647"/>
    <w:rsid w:val="00221474"/>
    <w:rsid w:val="00224D03"/>
    <w:rsid w:val="00226086"/>
    <w:rsid w:val="0023744D"/>
    <w:rsid w:val="0026248A"/>
    <w:rsid w:val="00262F31"/>
    <w:rsid w:val="00264FC8"/>
    <w:rsid w:val="0026594D"/>
    <w:rsid w:val="0027393D"/>
    <w:rsid w:val="00294CD5"/>
    <w:rsid w:val="002A2F09"/>
    <w:rsid w:val="002A70FF"/>
    <w:rsid w:val="002D0D4B"/>
    <w:rsid w:val="002D1BD6"/>
    <w:rsid w:val="002E064B"/>
    <w:rsid w:val="002E6971"/>
    <w:rsid w:val="002F1A02"/>
    <w:rsid w:val="002F7428"/>
    <w:rsid w:val="003200DE"/>
    <w:rsid w:val="00334CEA"/>
    <w:rsid w:val="00337E45"/>
    <w:rsid w:val="003420AD"/>
    <w:rsid w:val="0034667F"/>
    <w:rsid w:val="00346B2C"/>
    <w:rsid w:val="00347BFC"/>
    <w:rsid w:val="00356BDF"/>
    <w:rsid w:val="0036120A"/>
    <w:rsid w:val="00362E1D"/>
    <w:rsid w:val="00365C5F"/>
    <w:rsid w:val="00371718"/>
    <w:rsid w:val="00371C64"/>
    <w:rsid w:val="003805D7"/>
    <w:rsid w:val="003868B1"/>
    <w:rsid w:val="003954C5"/>
    <w:rsid w:val="003963B0"/>
    <w:rsid w:val="003A43E8"/>
    <w:rsid w:val="003B3AA6"/>
    <w:rsid w:val="003B58DE"/>
    <w:rsid w:val="003C72E0"/>
    <w:rsid w:val="003D7AA4"/>
    <w:rsid w:val="003E49D7"/>
    <w:rsid w:val="004005C1"/>
    <w:rsid w:val="004271F0"/>
    <w:rsid w:val="00441CC5"/>
    <w:rsid w:val="0044326A"/>
    <w:rsid w:val="004575D7"/>
    <w:rsid w:val="004602A2"/>
    <w:rsid w:val="00467546"/>
    <w:rsid w:val="004761C8"/>
    <w:rsid w:val="00477024"/>
    <w:rsid w:val="00481251"/>
    <w:rsid w:val="00483B5B"/>
    <w:rsid w:val="00487064"/>
    <w:rsid w:val="004878EC"/>
    <w:rsid w:val="00497DC1"/>
    <w:rsid w:val="004A77A7"/>
    <w:rsid w:val="004C7CAB"/>
    <w:rsid w:val="004D264C"/>
    <w:rsid w:val="004D73FE"/>
    <w:rsid w:val="004E0D2B"/>
    <w:rsid w:val="004F29B2"/>
    <w:rsid w:val="004F5942"/>
    <w:rsid w:val="00503483"/>
    <w:rsid w:val="005247F2"/>
    <w:rsid w:val="00530381"/>
    <w:rsid w:val="0053627D"/>
    <w:rsid w:val="0054053B"/>
    <w:rsid w:val="005426FE"/>
    <w:rsid w:val="00542CEE"/>
    <w:rsid w:val="0055219B"/>
    <w:rsid w:val="00560956"/>
    <w:rsid w:val="0056364E"/>
    <w:rsid w:val="00563E89"/>
    <w:rsid w:val="005663D8"/>
    <w:rsid w:val="00567BF1"/>
    <w:rsid w:val="00577817"/>
    <w:rsid w:val="005925F3"/>
    <w:rsid w:val="005975CC"/>
    <w:rsid w:val="005A53A4"/>
    <w:rsid w:val="005B2F69"/>
    <w:rsid w:val="005C2DD3"/>
    <w:rsid w:val="005C73EE"/>
    <w:rsid w:val="005E5CC9"/>
    <w:rsid w:val="005E7D29"/>
    <w:rsid w:val="00601F2B"/>
    <w:rsid w:val="00602C86"/>
    <w:rsid w:val="00603463"/>
    <w:rsid w:val="0061340A"/>
    <w:rsid w:val="00617EA2"/>
    <w:rsid w:val="00622502"/>
    <w:rsid w:val="006228A1"/>
    <w:rsid w:val="006376F2"/>
    <w:rsid w:val="00637EB5"/>
    <w:rsid w:val="00643697"/>
    <w:rsid w:val="00645A2F"/>
    <w:rsid w:val="006508B6"/>
    <w:rsid w:val="006537DF"/>
    <w:rsid w:val="0066237F"/>
    <w:rsid w:val="006632F3"/>
    <w:rsid w:val="00672106"/>
    <w:rsid w:val="00680F4A"/>
    <w:rsid w:val="00685755"/>
    <w:rsid w:val="00686903"/>
    <w:rsid w:val="00686DBB"/>
    <w:rsid w:val="00692D93"/>
    <w:rsid w:val="006A4344"/>
    <w:rsid w:val="006A4D19"/>
    <w:rsid w:val="006A69B0"/>
    <w:rsid w:val="006B6FBB"/>
    <w:rsid w:val="006B75F9"/>
    <w:rsid w:val="006C1519"/>
    <w:rsid w:val="006C3602"/>
    <w:rsid w:val="006D42BB"/>
    <w:rsid w:val="006D4F52"/>
    <w:rsid w:val="006E4788"/>
    <w:rsid w:val="006E60CD"/>
    <w:rsid w:val="006E6768"/>
    <w:rsid w:val="006E7363"/>
    <w:rsid w:val="006F40BF"/>
    <w:rsid w:val="006F4D19"/>
    <w:rsid w:val="006F599A"/>
    <w:rsid w:val="00705CF7"/>
    <w:rsid w:val="00710F77"/>
    <w:rsid w:val="007229EF"/>
    <w:rsid w:val="00734806"/>
    <w:rsid w:val="00746A2C"/>
    <w:rsid w:val="00757886"/>
    <w:rsid w:val="00770A25"/>
    <w:rsid w:val="00775604"/>
    <w:rsid w:val="0078057E"/>
    <w:rsid w:val="00782B2C"/>
    <w:rsid w:val="0078605A"/>
    <w:rsid w:val="0079145D"/>
    <w:rsid w:val="007A5065"/>
    <w:rsid w:val="007B1221"/>
    <w:rsid w:val="007B329D"/>
    <w:rsid w:val="007B3685"/>
    <w:rsid w:val="007C4BB8"/>
    <w:rsid w:val="007D2BFC"/>
    <w:rsid w:val="007E0F50"/>
    <w:rsid w:val="007E39F1"/>
    <w:rsid w:val="008020EF"/>
    <w:rsid w:val="00806C23"/>
    <w:rsid w:val="00810360"/>
    <w:rsid w:val="00811631"/>
    <w:rsid w:val="00815166"/>
    <w:rsid w:val="00820B81"/>
    <w:rsid w:val="00821E6E"/>
    <w:rsid w:val="00826000"/>
    <w:rsid w:val="00827149"/>
    <w:rsid w:val="00835450"/>
    <w:rsid w:val="0084749B"/>
    <w:rsid w:val="008506DF"/>
    <w:rsid w:val="0086542F"/>
    <w:rsid w:val="008873F5"/>
    <w:rsid w:val="008A3621"/>
    <w:rsid w:val="008A5E3B"/>
    <w:rsid w:val="008B2FF8"/>
    <w:rsid w:val="008C364E"/>
    <w:rsid w:val="008C5C3C"/>
    <w:rsid w:val="008D0EAD"/>
    <w:rsid w:val="008D71CD"/>
    <w:rsid w:val="008E5592"/>
    <w:rsid w:val="008E5F1A"/>
    <w:rsid w:val="008F17B9"/>
    <w:rsid w:val="008F4FA3"/>
    <w:rsid w:val="008F7E72"/>
    <w:rsid w:val="00901D96"/>
    <w:rsid w:val="009022C2"/>
    <w:rsid w:val="00904CDD"/>
    <w:rsid w:val="0090747F"/>
    <w:rsid w:val="009126F8"/>
    <w:rsid w:val="009279E5"/>
    <w:rsid w:val="0093503C"/>
    <w:rsid w:val="0093601C"/>
    <w:rsid w:val="00940BF3"/>
    <w:rsid w:val="00946113"/>
    <w:rsid w:val="0096373B"/>
    <w:rsid w:val="009639D4"/>
    <w:rsid w:val="00972DF2"/>
    <w:rsid w:val="00973187"/>
    <w:rsid w:val="00973284"/>
    <w:rsid w:val="00994AB4"/>
    <w:rsid w:val="0099638E"/>
    <w:rsid w:val="009A4043"/>
    <w:rsid w:val="009B216F"/>
    <w:rsid w:val="009B28BC"/>
    <w:rsid w:val="009C7F94"/>
    <w:rsid w:val="009D65CE"/>
    <w:rsid w:val="009E1330"/>
    <w:rsid w:val="009E3D4C"/>
    <w:rsid w:val="009F08A8"/>
    <w:rsid w:val="009F7688"/>
    <w:rsid w:val="00A05074"/>
    <w:rsid w:val="00A1402C"/>
    <w:rsid w:val="00A217F9"/>
    <w:rsid w:val="00A41F9A"/>
    <w:rsid w:val="00A47687"/>
    <w:rsid w:val="00A51772"/>
    <w:rsid w:val="00A52F60"/>
    <w:rsid w:val="00A77029"/>
    <w:rsid w:val="00A81E61"/>
    <w:rsid w:val="00A87A59"/>
    <w:rsid w:val="00AA104E"/>
    <w:rsid w:val="00AA66DF"/>
    <w:rsid w:val="00AA762E"/>
    <w:rsid w:val="00AB5478"/>
    <w:rsid w:val="00AC1E52"/>
    <w:rsid w:val="00AC214E"/>
    <w:rsid w:val="00AC48E9"/>
    <w:rsid w:val="00AC5E10"/>
    <w:rsid w:val="00AD13F2"/>
    <w:rsid w:val="00AE0256"/>
    <w:rsid w:val="00AE2B80"/>
    <w:rsid w:val="00AE2C95"/>
    <w:rsid w:val="00B03255"/>
    <w:rsid w:val="00B1321E"/>
    <w:rsid w:val="00B1411A"/>
    <w:rsid w:val="00B15B5D"/>
    <w:rsid w:val="00B35FFD"/>
    <w:rsid w:val="00B36427"/>
    <w:rsid w:val="00B40759"/>
    <w:rsid w:val="00B413AE"/>
    <w:rsid w:val="00B41A72"/>
    <w:rsid w:val="00B53AA0"/>
    <w:rsid w:val="00B54D6B"/>
    <w:rsid w:val="00B64564"/>
    <w:rsid w:val="00B66DD7"/>
    <w:rsid w:val="00B6761D"/>
    <w:rsid w:val="00B815FA"/>
    <w:rsid w:val="00B84E45"/>
    <w:rsid w:val="00B8749D"/>
    <w:rsid w:val="00BA7777"/>
    <w:rsid w:val="00BB0BCF"/>
    <w:rsid w:val="00BB29B8"/>
    <w:rsid w:val="00BB3345"/>
    <w:rsid w:val="00BC1EE9"/>
    <w:rsid w:val="00BE1EB6"/>
    <w:rsid w:val="00BE7060"/>
    <w:rsid w:val="00BE7624"/>
    <w:rsid w:val="00BF1FA9"/>
    <w:rsid w:val="00BF346E"/>
    <w:rsid w:val="00BF51BD"/>
    <w:rsid w:val="00C0172D"/>
    <w:rsid w:val="00C05D8B"/>
    <w:rsid w:val="00C227AD"/>
    <w:rsid w:val="00C2298F"/>
    <w:rsid w:val="00C26C93"/>
    <w:rsid w:val="00C304CA"/>
    <w:rsid w:val="00C3264A"/>
    <w:rsid w:val="00C5309B"/>
    <w:rsid w:val="00C604F0"/>
    <w:rsid w:val="00C61FA6"/>
    <w:rsid w:val="00C637FA"/>
    <w:rsid w:val="00C651DB"/>
    <w:rsid w:val="00C65C05"/>
    <w:rsid w:val="00C75A79"/>
    <w:rsid w:val="00C77A8A"/>
    <w:rsid w:val="00C77EBC"/>
    <w:rsid w:val="00C810CF"/>
    <w:rsid w:val="00C858E9"/>
    <w:rsid w:val="00C85B3B"/>
    <w:rsid w:val="00CB3E3C"/>
    <w:rsid w:val="00CB7BFC"/>
    <w:rsid w:val="00CE7FDD"/>
    <w:rsid w:val="00CF0295"/>
    <w:rsid w:val="00CF08F5"/>
    <w:rsid w:val="00CF6517"/>
    <w:rsid w:val="00D00985"/>
    <w:rsid w:val="00D1668E"/>
    <w:rsid w:val="00D224DE"/>
    <w:rsid w:val="00D36A00"/>
    <w:rsid w:val="00D42AFD"/>
    <w:rsid w:val="00D4544A"/>
    <w:rsid w:val="00D52581"/>
    <w:rsid w:val="00D6085E"/>
    <w:rsid w:val="00D63BE1"/>
    <w:rsid w:val="00D64BF9"/>
    <w:rsid w:val="00D70E72"/>
    <w:rsid w:val="00D722FB"/>
    <w:rsid w:val="00D90EC7"/>
    <w:rsid w:val="00D916D9"/>
    <w:rsid w:val="00D9342D"/>
    <w:rsid w:val="00D96BE3"/>
    <w:rsid w:val="00DA1B8E"/>
    <w:rsid w:val="00DB4041"/>
    <w:rsid w:val="00DB52B6"/>
    <w:rsid w:val="00DB79E3"/>
    <w:rsid w:val="00DC053B"/>
    <w:rsid w:val="00DC1313"/>
    <w:rsid w:val="00DC17DE"/>
    <w:rsid w:val="00DC3F6B"/>
    <w:rsid w:val="00DD2900"/>
    <w:rsid w:val="00DE1624"/>
    <w:rsid w:val="00DE6231"/>
    <w:rsid w:val="00DF0069"/>
    <w:rsid w:val="00DF43B0"/>
    <w:rsid w:val="00E0751F"/>
    <w:rsid w:val="00E14763"/>
    <w:rsid w:val="00E15E48"/>
    <w:rsid w:val="00E2344E"/>
    <w:rsid w:val="00E31BC1"/>
    <w:rsid w:val="00E7210B"/>
    <w:rsid w:val="00E7605B"/>
    <w:rsid w:val="00E840D7"/>
    <w:rsid w:val="00E8468F"/>
    <w:rsid w:val="00E87877"/>
    <w:rsid w:val="00E94C8E"/>
    <w:rsid w:val="00E96036"/>
    <w:rsid w:val="00EA284D"/>
    <w:rsid w:val="00EB0228"/>
    <w:rsid w:val="00EF2677"/>
    <w:rsid w:val="00EF3722"/>
    <w:rsid w:val="00EF679F"/>
    <w:rsid w:val="00F07BE6"/>
    <w:rsid w:val="00F14B43"/>
    <w:rsid w:val="00F20B1C"/>
    <w:rsid w:val="00F23AC3"/>
    <w:rsid w:val="00F301B8"/>
    <w:rsid w:val="00F41A11"/>
    <w:rsid w:val="00F41EAB"/>
    <w:rsid w:val="00F44557"/>
    <w:rsid w:val="00F51D93"/>
    <w:rsid w:val="00F5619D"/>
    <w:rsid w:val="00F634F4"/>
    <w:rsid w:val="00F84B73"/>
    <w:rsid w:val="00F902B6"/>
    <w:rsid w:val="00FA0268"/>
    <w:rsid w:val="00FB1AE7"/>
    <w:rsid w:val="00FB1DAC"/>
    <w:rsid w:val="00FB2FC4"/>
    <w:rsid w:val="00FB5782"/>
    <w:rsid w:val="00FB5F09"/>
    <w:rsid w:val="00FC31FD"/>
    <w:rsid w:val="00FC533F"/>
    <w:rsid w:val="00FC7963"/>
    <w:rsid w:val="00FD3E98"/>
    <w:rsid w:val="00FD4720"/>
    <w:rsid w:val="00FD5EFB"/>
    <w:rsid w:val="00FD714D"/>
    <w:rsid w:val="00FE001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3E7607"/>
  <w15:docId w15:val="{A80ED9A1-B3FB-4DE3-B67E-AB62730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E9"/>
  </w:style>
  <w:style w:type="paragraph" w:styleId="Heading1">
    <w:name w:val="heading 1"/>
    <w:basedOn w:val="Normal"/>
    <w:next w:val="Normal"/>
    <w:link w:val="Heading1Char"/>
    <w:uiPriority w:val="9"/>
    <w:qFormat/>
    <w:rsid w:val="00C858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8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8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8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8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8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8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8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8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EAB"/>
  </w:style>
  <w:style w:type="paragraph" w:styleId="Footer">
    <w:name w:val="footer"/>
    <w:basedOn w:val="Normal"/>
    <w:link w:val="FooterChar"/>
    <w:uiPriority w:val="99"/>
    <w:unhideWhenUsed/>
    <w:rsid w:val="00F41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AB"/>
  </w:style>
  <w:style w:type="paragraph" w:styleId="BalloonText">
    <w:name w:val="Balloon Text"/>
    <w:basedOn w:val="Normal"/>
    <w:link w:val="BalloonTextChar"/>
    <w:uiPriority w:val="99"/>
    <w:semiHidden/>
    <w:unhideWhenUsed/>
    <w:rsid w:val="00F4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58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8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8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8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8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8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8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8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8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8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58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858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8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8E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858E9"/>
    <w:rPr>
      <w:b/>
      <w:bCs/>
      <w:spacing w:val="0"/>
    </w:rPr>
  </w:style>
  <w:style w:type="character" w:styleId="Emphasis">
    <w:name w:val="Emphasis"/>
    <w:uiPriority w:val="20"/>
    <w:qFormat/>
    <w:rsid w:val="00C858E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858E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858E9"/>
  </w:style>
  <w:style w:type="paragraph" w:styleId="Quote">
    <w:name w:val="Quote"/>
    <w:basedOn w:val="Normal"/>
    <w:next w:val="Normal"/>
    <w:link w:val="QuoteChar"/>
    <w:uiPriority w:val="29"/>
    <w:qFormat/>
    <w:rsid w:val="00C858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858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8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8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858E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858E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858E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858E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858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8E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8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7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0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B58DE"/>
    <w:pPr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58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46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4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NJagar</dc:creator>
  <cp:lastModifiedBy>Lori Livingston</cp:lastModifiedBy>
  <cp:revision>3</cp:revision>
  <cp:lastPrinted>2014-02-13T19:22:00Z</cp:lastPrinted>
  <dcterms:created xsi:type="dcterms:W3CDTF">2021-04-03T17:16:00Z</dcterms:created>
  <dcterms:modified xsi:type="dcterms:W3CDTF">2021-04-03T17:22:00Z</dcterms:modified>
</cp:coreProperties>
</file>