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DB8A" w14:textId="77777777" w:rsidR="00DC3F6B" w:rsidRPr="00392187" w:rsidRDefault="00AE0256" w:rsidP="00E0751F">
      <w:pPr>
        <w:spacing w:after="120"/>
        <w:ind w:firstLine="0"/>
        <w:rPr>
          <w:b/>
          <w:sz w:val="24"/>
        </w:rPr>
      </w:pPr>
      <w:r w:rsidRPr="00392187">
        <w:rPr>
          <w:noProof/>
          <w:lang w:val="en-US"/>
        </w:rPr>
        <w:drawing>
          <wp:anchor distT="0" distB="0" distL="114300" distR="114300" simplePos="0" relativeHeight="251659264" behindDoc="0" locked="0" layoutInCell="1" allowOverlap="1" wp14:anchorId="41C51FAA" wp14:editId="425C8D4E">
            <wp:simplePos x="0" y="0"/>
            <wp:positionH relativeFrom="margin">
              <wp:align>left</wp:align>
            </wp:positionH>
            <wp:positionV relativeFrom="paragraph">
              <wp:posOffset>-1447800</wp:posOffset>
            </wp:positionV>
            <wp:extent cx="2969883" cy="104775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IT_Standar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9883" cy="1047750"/>
                    </a:xfrm>
                    <a:prstGeom prst="rect">
                      <a:avLst/>
                    </a:prstGeom>
                  </pic:spPr>
                </pic:pic>
              </a:graphicData>
            </a:graphic>
            <wp14:sizeRelH relativeFrom="margin">
              <wp14:pctWidth>0</wp14:pctWidth>
            </wp14:sizeRelH>
            <wp14:sizeRelV relativeFrom="margin">
              <wp14:pctHeight>0</wp14:pctHeight>
            </wp14:sizeRelV>
          </wp:anchor>
        </w:drawing>
      </w:r>
    </w:p>
    <w:p w14:paraId="2ADF39E4" w14:textId="29B2EF29" w:rsidR="006E60CD" w:rsidRPr="00392187" w:rsidRDefault="002F0968" w:rsidP="00E0751F">
      <w:pPr>
        <w:spacing w:after="120"/>
        <w:ind w:firstLine="0"/>
        <w:rPr>
          <w:b/>
          <w:sz w:val="24"/>
        </w:rPr>
      </w:pPr>
      <w:r w:rsidRPr="00392187">
        <w:rPr>
          <w:b/>
          <w:sz w:val="24"/>
        </w:rPr>
        <w:t>LEGAL COMMITMENTS</w:t>
      </w:r>
      <w:r w:rsidR="00255ECF" w:rsidRPr="00392187">
        <w:rPr>
          <w:b/>
          <w:sz w:val="24"/>
        </w:rPr>
        <w:t xml:space="preserve"> </w:t>
      </w:r>
      <w:r w:rsidRPr="00392187">
        <w:rPr>
          <w:b/>
          <w:sz w:val="24"/>
        </w:rPr>
        <w:t>SIGNING AUTHORITY PROCEDURE</w:t>
      </w:r>
    </w:p>
    <w:p w14:paraId="50BCA3DD" w14:textId="77777777" w:rsidR="00DE1624" w:rsidRPr="00392187" w:rsidRDefault="00DE1624" w:rsidP="000E4733">
      <w:pPr>
        <w:spacing w:after="120"/>
      </w:pPr>
    </w:p>
    <w:p w14:paraId="6FE72C6D" w14:textId="77777777" w:rsidR="00DE1624" w:rsidRPr="00392187" w:rsidRDefault="00DE1624" w:rsidP="000E4733">
      <w:pPr>
        <w:spacing w:after="120"/>
        <w:ind w:firstLine="0"/>
        <w:rPr>
          <w:b/>
        </w:rPr>
      </w:pPr>
      <w:r w:rsidRPr="00392187">
        <w:rPr>
          <w:b/>
        </w:rPr>
        <w:t>PURPOSE</w:t>
      </w:r>
    </w:p>
    <w:p w14:paraId="4E460881" w14:textId="123811DF" w:rsidR="006A5C72" w:rsidRPr="00AF4FD7" w:rsidRDefault="006A5C72" w:rsidP="00973187">
      <w:pPr>
        <w:pStyle w:val="ListParagraph"/>
        <w:numPr>
          <w:ilvl w:val="0"/>
          <w:numId w:val="2"/>
        </w:numPr>
        <w:spacing w:after="120"/>
        <w:contextualSpacing w:val="0"/>
        <w:rPr>
          <w:b/>
          <w:highlight w:val="yellow"/>
        </w:rPr>
      </w:pPr>
      <w:r w:rsidRPr="00392187">
        <w:t>Th</w:t>
      </w:r>
      <w:r w:rsidRPr="00AF4FD7">
        <w:t>e purpose of this</w:t>
      </w:r>
      <w:r w:rsidRPr="00392187">
        <w:t xml:space="preserve"> </w:t>
      </w:r>
      <w:r w:rsidR="002F0968" w:rsidRPr="00392187">
        <w:t xml:space="preserve">Procedure </w:t>
      </w:r>
      <w:r w:rsidRPr="00AF4FD7">
        <w:t xml:space="preserve">is to establish the framework of </w:t>
      </w:r>
      <w:r w:rsidR="0049775C" w:rsidRPr="00AF4FD7">
        <w:t xml:space="preserve">signing </w:t>
      </w:r>
      <w:r w:rsidRPr="00AF4FD7">
        <w:t>authority</w:t>
      </w:r>
      <w:r w:rsidR="00FA27F7">
        <w:t xml:space="preserve"> limits and </w:t>
      </w:r>
      <w:r w:rsidR="00FA27F7" w:rsidRPr="00392187">
        <w:t>responsibility</w:t>
      </w:r>
      <w:r w:rsidRPr="00AF4FD7">
        <w:t xml:space="preserve"> for the approval and signing of agreements </w:t>
      </w:r>
      <w:r w:rsidR="0049775C" w:rsidRPr="00AF4FD7">
        <w:t>that bind the</w:t>
      </w:r>
      <w:r w:rsidRPr="00AF4FD7">
        <w:t xml:space="preserve"> university</w:t>
      </w:r>
      <w:r w:rsidR="0049775C" w:rsidRPr="00AF4FD7">
        <w:t xml:space="preserve"> to legal commitments</w:t>
      </w:r>
      <w:r w:rsidRPr="00AF4FD7">
        <w:t xml:space="preserve">. </w:t>
      </w:r>
      <w:r w:rsidRPr="00392187">
        <w:t>These commitments include academic agreements, the establishment of partnerships or similar arrangements,</w:t>
      </w:r>
      <w:r w:rsidR="00FA27F7">
        <w:t xml:space="preserve"> incoming funds,</w:t>
      </w:r>
      <w:r w:rsidRPr="00392187">
        <w:t xml:space="preserve"> transfer or acquisition of intellectual property rights, employment and intellectual property</w:t>
      </w:r>
      <w:r w:rsidRPr="006A5C72">
        <w:t xml:space="preserve"> agreements.</w:t>
      </w:r>
      <w:r w:rsidR="007B00F0">
        <w:t xml:space="preserve"> </w:t>
      </w:r>
    </w:p>
    <w:p w14:paraId="271C4916" w14:textId="77777777" w:rsidR="00347BFC" w:rsidRPr="00347BFC" w:rsidRDefault="00347BFC" w:rsidP="00347BFC">
      <w:pPr>
        <w:pStyle w:val="ListParagraph"/>
        <w:spacing w:after="120"/>
        <w:ind w:firstLine="0"/>
        <w:contextualSpacing w:val="0"/>
        <w:rPr>
          <w:b/>
        </w:rPr>
      </w:pPr>
    </w:p>
    <w:p w14:paraId="032C9FAC" w14:textId="77777777" w:rsidR="0000687B" w:rsidRDefault="0000687B" w:rsidP="000E4733">
      <w:pPr>
        <w:spacing w:after="120"/>
        <w:ind w:firstLine="0"/>
      </w:pPr>
      <w:r>
        <w:rPr>
          <w:b/>
        </w:rPr>
        <w:t>DEFINITIONS</w:t>
      </w:r>
    </w:p>
    <w:p w14:paraId="61F63252" w14:textId="77777777" w:rsidR="00A217F9" w:rsidRPr="006537DF" w:rsidRDefault="003868B1" w:rsidP="000E4733">
      <w:pPr>
        <w:pStyle w:val="ListParagraph"/>
        <w:numPr>
          <w:ilvl w:val="0"/>
          <w:numId w:val="2"/>
        </w:numPr>
        <w:spacing w:after="120"/>
        <w:contextualSpacing w:val="0"/>
        <w:rPr>
          <w:color w:val="E36C0A" w:themeColor="accent6" w:themeShade="BF"/>
        </w:rPr>
      </w:pPr>
      <w:r>
        <w:t xml:space="preserve">For the purposes of this </w:t>
      </w:r>
      <w:r w:rsidR="00321F0C">
        <w:t>Procedure</w:t>
      </w:r>
      <w:r w:rsidR="00A217F9">
        <w:t xml:space="preserve"> the following definitions apply:</w:t>
      </w:r>
      <w:r w:rsidR="00826000">
        <w:t xml:space="preserve"> </w:t>
      </w:r>
    </w:p>
    <w:p w14:paraId="795DE1E4" w14:textId="38084C23" w:rsidR="00385938" w:rsidRDefault="00385938" w:rsidP="00385938">
      <w:pPr>
        <w:spacing w:after="120"/>
        <w:ind w:left="720" w:firstLine="0"/>
      </w:pPr>
      <w:r>
        <w:rPr>
          <w:b/>
        </w:rPr>
        <w:t>“First Approver”</w:t>
      </w:r>
      <w:r>
        <w:t xml:space="preserve"> means an individual with authority to assess whether the commitment meets the objectives of the University, ensure that the commitment complies with all University policies,</w:t>
      </w:r>
      <w:r w:rsidR="007B00F0">
        <w:t xml:space="preserve"> and</w:t>
      </w:r>
      <w:r>
        <w:t xml:space="preserve"> ensure that </w:t>
      </w:r>
      <w:r w:rsidR="0053503F">
        <w:t>the requirements of the Legal Review of Contracts Procedures have been fulfilled.</w:t>
      </w:r>
    </w:p>
    <w:p w14:paraId="5D77DA50" w14:textId="77351722" w:rsidR="00CE1F4D" w:rsidRDefault="00CE1F4D" w:rsidP="00CE1F4D">
      <w:pPr>
        <w:spacing w:after="120"/>
        <w:ind w:left="720" w:firstLine="0"/>
        <w:rPr>
          <w:b/>
        </w:rPr>
      </w:pPr>
      <w:r>
        <w:rPr>
          <w:b/>
        </w:rPr>
        <w:t xml:space="preserve">“Executive Compliance Lead” </w:t>
      </w:r>
      <w:r>
        <w:t xml:space="preserve">means a member of SLT with delegated responsibility for addressing specific Compliance Obligations and certifying an annual Compliance Checklist in </w:t>
      </w:r>
      <w:r w:rsidRPr="00CE1F4D">
        <w:t>their areas of responsibility</w:t>
      </w:r>
      <w:r>
        <w:rPr>
          <w:b/>
        </w:rPr>
        <w:t>.</w:t>
      </w:r>
    </w:p>
    <w:p w14:paraId="6359F74D" w14:textId="77777777" w:rsidR="005B037E" w:rsidRPr="005B037E" w:rsidRDefault="005B037E" w:rsidP="005B037E">
      <w:pPr>
        <w:spacing w:after="120"/>
        <w:ind w:left="720" w:firstLine="0"/>
        <w:rPr>
          <w:b/>
        </w:rPr>
      </w:pPr>
      <w:r w:rsidRPr="005B037E">
        <w:rPr>
          <w:b/>
        </w:rPr>
        <w:t xml:space="preserve">“Expenditures” </w:t>
      </w:r>
      <w:r w:rsidRPr="00271798">
        <w:t>include all amounts disbursed from the University, including amounts pursuant to a Financial Contract.</w:t>
      </w:r>
      <w:r w:rsidRPr="005B037E">
        <w:rPr>
          <w:b/>
        </w:rPr>
        <w:t xml:space="preserve"> </w:t>
      </w:r>
    </w:p>
    <w:p w14:paraId="04FC4EB7" w14:textId="1BE73F23" w:rsidR="00BF47A7" w:rsidRPr="00AF4FD7" w:rsidRDefault="00BF47A7" w:rsidP="005B037E">
      <w:pPr>
        <w:spacing w:after="120"/>
        <w:ind w:left="720" w:firstLine="0"/>
      </w:pPr>
      <w:r>
        <w:rPr>
          <w:b/>
        </w:rPr>
        <w:t xml:space="preserve">“Expenditure Signing Authority” </w:t>
      </w:r>
      <w:r>
        <w:t>means a Second Approver under the Expenditure Signing Authority Procedure.</w:t>
      </w:r>
    </w:p>
    <w:p w14:paraId="74526650" w14:textId="3F3C3CFB" w:rsidR="00922630" w:rsidRPr="002F0968" w:rsidRDefault="005B037E" w:rsidP="005B037E">
      <w:pPr>
        <w:spacing w:after="120"/>
        <w:ind w:left="720" w:firstLine="0"/>
      </w:pPr>
      <w:r w:rsidRPr="005B037E">
        <w:rPr>
          <w:b/>
        </w:rPr>
        <w:t xml:space="preserve">“Financial Contract” </w:t>
      </w:r>
      <w:r w:rsidRPr="00271798">
        <w:t>means any document, process or other evidence that records an intention to establish a monetary obligation between the University and one or more third parties, e.g. the procurement of goods and services through a purchase order.</w:t>
      </w:r>
      <w:r w:rsidRPr="005B037E" w:rsidDel="005B037E">
        <w:rPr>
          <w:b/>
        </w:rPr>
        <w:t xml:space="preserve"> </w:t>
      </w:r>
    </w:p>
    <w:p w14:paraId="58294114" w14:textId="191A4239" w:rsidR="0053503F" w:rsidRPr="0053503F" w:rsidRDefault="00FA27F7" w:rsidP="00321F0C">
      <w:pPr>
        <w:spacing w:after="120"/>
        <w:ind w:left="720" w:firstLine="0"/>
      </w:pPr>
      <w:r w:rsidRPr="002F0968" w:rsidDel="00FA27F7">
        <w:rPr>
          <w:b/>
        </w:rPr>
        <w:t xml:space="preserve"> </w:t>
      </w:r>
      <w:r w:rsidR="0053503F">
        <w:rPr>
          <w:b/>
        </w:rPr>
        <w:t>“Second Approver”</w:t>
      </w:r>
      <w:r w:rsidR="0053503F">
        <w:t xml:space="preserve"> means an individual with authority to review the First Approver’s assessment</w:t>
      </w:r>
      <w:r w:rsidR="00F301D2">
        <w:t>,</w:t>
      </w:r>
      <w:r w:rsidR="0053503F">
        <w:t xml:space="preserve"> ensure that the </w:t>
      </w:r>
      <w:r>
        <w:t xml:space="preserve">commitment </w:t>
      </w:r>
      <w:r w:rsidR="0053503F">
        <w:t>is appropriate and necessary for university operations</w:t>
      </w:r>
      <w:r w:rsidR="0049775C">
        <w:t xml:space="preserve"> and sign </w:t>
      </w:r>
      <w:r w:rsidR="007B00F0">
        <w:t>the</w:t>
      </w:r>
      <w:r w:rsidR="0049775C">
        <w:t xml:space="preserve"> agreement on behalf of the University.</w:t>
      </w:r>
    </w:p>
    <w:p w14:paraId="0BB82B25" w14:textId="0A977814" w:rsidR="00385938" w:rsidRDefault="00385938" w:rsidP="00321F0C">
      <w:pPr>
        <w:spacing w:after="120"/>
        <w:ind w:left="720" w:firstLine="0"/>
      </w:pPr>
      <w:r w:rsidRPr="00385938">
        <w:rPr>
          <w:b/>
        </w:rPr>
        <w:t xml:space="preserve">“Settlement Agreement” </w:t>
      </w:r>
      <w:r w:rsidRPr="00385938">
        <w:t>means minutes of settlement, or an agreement involving or arising from legal action, litigation, insurance claims, grievances, employment matters, or matters in front of judicial or quasi-judicial tribunals.</w:t>
      </w:r>
    </w:p>
    <w:p w14:paraId="6FE63F33" w14:textId="7971749A" w:rsidR="00F04EB5" w:rsidRPr="00263328" w:rsidRDefault="00F04EB5" w:rsidP="00321F0C">
      <w:pPr>
        <w:spacing w:after="120"/>
        <w:ind w:left="720" w:firstLine="0"/>
      </w:pPr>
      <w:r>
        <w:rPr>
          <w:b/>
        </w:rPr>
        <w:t>“University Brand”</w:t>
      </w:r>
      <w:r w:rsidRPr="00263328">
        <w:t xml:space="preserve"> </w:t>
      </w:r>
      <w:r w:rsidR="001C347B" w:rsidRPr="00263328">
        <w:t xml:space="preserve">means </w:t>
      </w:r>
      <w:r w:rsidRPr="00263328">
        <w:t xml:space="preserve">any </w:t>
      </w:r>
      <w:r w:rsidR="001C347B" w:rsidRPr="00263328">
        <w:t>Intellectual Property</w:t>
      </w:r>
      <w:r w:rsidRPr="00263328">
        <w:t xml:space="preserve"> elements that the university uses as part of </w:t>
      </w:r>
      <w:r w:rsidR="001C347B" w:rsidRPr="00263328">
        <w:t xml:space="preserve">its brand identity, including the </w:t>
      </w:r>
      <w:r w:rsidRPr="00263328">
        <w:t>use of</w:t>
      </w:r>
      <w:r w:rsidR="001C347B">
        <w:t xml:space="preserve"> the U</w:t>
      </w:r>
      <w:r w:rsidRPr="00263328">
        <w:t>niversity’s name and trademark</w:t>
      </w:r>
      <w:r w:rsidR="002205DE">
        <w:t xml:space="preserve"> or other brand assets</w:t>
      </w:r>
      <w:r>
        <w:t>.</w:t>
      </w:r>
    </w:p>
    <w:p w14:paraId="157C97E9" w14:textId="3F35BD9E" w:rsidR="00321F0C" w:rsidRPr="00321F0C" w:rsidRDefault="00321F0C" w:rsidP="00321F0C">
      <w:pPr>
        <w:spacing w:after="120"/>
        <w:ind w:left="720" w:firstLine="0"/>
      </w:pPr>
      <w:r w:rsidRPr="00321F0C">
        <w:rPr>
          <w:b/>
        </w:rPr>
        <w:lastRenderedPageBreak/>
        <w:t xml:space="preserve">“University Member” </w:t>
      </w:r>
      <w:r w:rsidRPr="00321F0C">
        <w:t>means any individual who is:</w:t>
      </w:r>
    </w:p>
    <w:p w14:paraId="67DC9391" w14:textId="77777777" w:rsidR="00321F0C" w:rsidRPr="00321F0C" w:rsidRDefault="00321F0C" w:rsidP="00321F0C">
      <w:pPr>
        <w:pStyle w:val="ListParagraph"/>
        <w:numPr>
          <w:ilvl w:val="0"/>
          <w:numId w:val="25"/>
        </w:numPr>
        <w:spacing w:after="120"/>
        <w:contextualSpacing w:val="0"/>
      </w:pPr>
      <w:r w:rsidRPr="00321F0C">
        <w:t>Employed by the University or holding an appointment with the University, including paid, unpaid and/or honorific appointments (</w:t>
      </w:r>
      <w:r w:rsidRPr="00321F0C">
        <w:rPr>
          <w:b/>
        </w:rPr>
        <w:t>“Employee”</w:t>
      </w:r>
      <w:r w:rsidRPr="00321F0C">
        <w:t>);</w:t>
      </w:r>
    </w:p>
    <w:p w14:paraId="14161E49" w14:textId="77777777" w:rsidR="00321F0C" w:rsidRPr="00321F0C" w:rsidRDefault="00321F0C" w:rsidP="00321F0C">
      <w:pPr>
        <w:pStyle w:val="ListParagraph"/>
        <w:numPr>
          <w:ilvl w:val="0"/>
          <w:numId w:val="25"/>
        </w:numPr>
        <w:spacing w:after="120"/>
        <w:contextualSpacing w:val="0"/>
      </w:pPr>
      <w:r w:rsidRPr="00321F0C">
        <w:t>Registered as a Student; and/or</w:t>
      </w:r>
    </w:p>
    <w:p w14:paraId="2F948C9E" w14:textId="70E46E47" w:rsidR="00321F0C" w:rsidRDefault="00321F0C" w:rsidP="00321F0C">
      <w:pPr>
        <w:pStyle w:val="ListParagraph"/>
        <w:numPr>
          <w:ilvl w:val="0"/>
          <w:numId w:val="25"/>
        </w:numPr>
        <w:spacing w:after="120"/>
        <w:contextualSpacing w:val="0"/>
      </w:pPr>
      <w:r w:rsidRPr="00321F0C">
        <w:t>Otherwise subject to University policies by virtue of the requirements of a specific policy (e.g. Booking and Use of University Space) and/or the terms of an agreement or contract.</w:t>
      </w:r>
    </w:p>
    <w:p w14:paraId="0667943B" w14:textId="12BBAF03" w:rsidR="001F167F" w:rsidRPr="001F167F" w:rsidRDefault="001F167F" w:rsidP="00271798">
      <w:pPr>
        <w:spacing w:after="120"/>
        <w:ind w:left="360"/>
      </w:pPr>
      <w:r w:rsidRPr="00271798">
        <w:rPr>
          <w:b/>
        </w:rPr>
        <w:t>“Value”</w:t>
      </w:r>
      <w:r w:rsidRPr="00271798">
        <w:t xml:space="preserve"> means the total value of a contract over the life of the contract in Canadian dollars.</w:t>
      </w:r>
    </w:p>
    <w:p w14:paraId="70E368C8" w14:textId="77777777" w:rsidR="00DC053B" w:rsidRDefault="00DC053B" w:rsidP="00DC053B">
      <w:pPr>
        <w:spacing w:after="120"/>
        <w:ind w:left="720" w:firstLine="0"/>
        <w:rPr>
          <w:b/>
        </w:rPr>
      </w:pPr>
    </w:p>
    <w:p w14:paraId="5F37A343" w14:textId="77777777" w:rsidR="00577817" w:rsidRPr="00C637FA" w:rsidRDefault="00577817" w:rsidP="000E4733">
      <w:pPr>
        <w:spacing w:after="120"/>
        <w:ind w:firstLine="0"/>
        <w:rPr>
          <w:b/>
        </w:rPr>
      </w:pPr>
      <w:r w:rsidRPr="00C637FA">
        <w:rPr>
          <w:b/>
        </w:rPr>
        <w:t>SCOPE AND AUTHORITY</w:t>
      </w:r>
    </w:p>
    <w:p w14:paraId="747F1CAD" w14:textId="74F4D2DD" w:rsidR="002F1A02" w:rsidRDefault="00E403C0" w:rsidP="00347BFC">
      <w:pPr>
        <w:pStyle w:val="ListParagraph"/>
        <w:numPr>
          <w:ilvl w:val="0"/>
          <w:numId w:val="2"/>
        </w:numPr>
        <w:spacing w:after="120"/>
        <w:contextualSpacing w:val="0"/>
      </w:pPr>
      <w:r>
        <w:t xml:space="preserve">This </w:t>
      </w:r>
      <w:r w:rsidR="003868B1">
        <w:t>P</w:t>
      </w:r>
      <w:r w:rsidR="00321F0C">
        <w:t>rocedure</w:t>
      </w:r>
      <w:r w:rsidR="000A4F87">
        <w:t xml:space="preserve"> </w:t>
      </w:r>
      <w:r>
        <w:t xml:space="preserve">applies </w:t>
      </w:r>
      <w:r w:rsidR="000A4F87">
        <w:t xml:space="preserve">to </w:t>
      </w:r>
      <w:r w:rsidR="00321F0C">
        <w:t xml:space="preserve">all </w:t>
      </w:r>
      <w:r w:rsidR="002F0968">
        <w:t>legal commitments</w:t>
      </w:r>
      <w:r w:rsidR="00F301D2">
        <w:t>,</w:t>
      </w:r>
      <w:r w:rsidR="002F0968">
        <w:t xml:space="preserve"> and extend</w:t>
      </w:r>
      <w:r w:rsidR="00FA27F7">
        <w:t>s</w:t>
      </w:r>
      <w:r w:rsidR="002F0968">
        <w:t xml:space="preserve"> to all </w:t>
      </w:r>
      <w:r w:rsidR="00321F0C">
        <w:t>University Members.</w:t>
      </w:r>
    </w:p>
    <w:p w14:paraId="42BAF012" w14:textId="249AA272" w:rsidR="003A232C" w:rsidRDefault="003A232C" w:rsidP="00347BFC">
      <w:pPr>
        <w:pStyle w:val="ListParagraph"/>
        <w:numPr>
          <w:ilvl w:val="0"/>
          <w:numId w:val="2"/>
        </w:numPr>
        <w:spacing w:after="120"/>
        <w:contextualSpacing w:val="0"/>
      </w:pPr>
      <w:r w:rsidRPr="002F0968">
        <w:t>A</w:t>
      </w:r>
      <w:r w:rsidR="001F167F">
        <w:t xml:space="preserve"> Financial Contract </w:t>
      </w:r>
      <w:r w:rsidRPr="002F0968">
        <w:t>may include Expenditure</w:t>
      </w:r>
      <w:r w:rsidR="00907481">
        <w:t>s</w:t>
      </w:r>
      <w:r w:rsidR="00107FAB">
        <w:t xml:space="preserve"> as well as</w:t>
      </w:r>
      <w:r w:rsidRPr="002F0968">
        <w:t xml:space="preserve"> </w:t>
      </w:r>
      <w:r w:rsidR="001A6405">
        <w:t>other</w:t>
      </w:r>
      <w:r w:rsidRPr="002F0968">
        <w:t xml:space="preserve"> legal commitments.</w:t>
      </w:r>
      <w:r>
        <w:t xml:space="preserve"> </w:t>
      </w:r>
      <w:r w:rsidR="00107FAB">
        <w:t xml:space="preserve">Where applicable, the </w:t>
      </w:r>
      <w:r w:rsidRPr="00AF4FD7">
        <w:t>review or approval requirements under</w:t>
      </w:r>
      <w:r w:rsidR="00E403C0" w:rsidRPr="00AF4FD7">
        <w:t xml:space="preserve"> this</w:t>
      </w:r>
      <w:r w:rsidRPr="00AF4FD7">
        <w:t xml:space="preserve"> Procedure</w:t>
      </w:r>
      <w:r w:rsidR="00E403C0" w:rsidRPr="00AF4FD7">
        <w:t>, as well as those under the Expenditure Signing Authority Procedure</w:t>
      </w:r>
      <w:r w:rsidRPr="00AF4FD7">
        <w:t xml:space="preserve"> must be </w:t>
      </w:r>
      <w:r w:rsidR="00FA27F7">
        <w:t>addressed</w:t>
      </w:r>
      <w:r w:rsidRPr="00E403C0">
        <w:t>.</w:t>
      </w:r>
    </w:p>
    <w:p w14:paraId="4B7C02CC" w14:textId="63888BB6" w:rsidR="00347BFC" w:rsidRPr="002F1A02" w:rsidRDefault="00347BFC" w:rsidP="00347BFC">
      <w:pPr>
        <w:pStyle w:val="ListParagraph"/>
        <w:numPr>
          <w:ilvl w:val="0"/>
          <w:numId w:val="2"/>
        </w:numPr>
        <w:spacing w:after="120"/>
        <w:contextualSpacing w:val="0"/>
      </w:pPr>
      <w:r>
        <w:t xml:space="preserve">The </w:t>
      </w:r>
      <w:r w:rsidR="002F0968">
        <w:t>General Counsel</w:t>
      </w:r>
      <w:r w:rsidR="008C364E">
        <w:t>, or successor thereof, is the Policy Owner and is responsible for overseeing the implementation, administration an</w:t>
      </w:r>
      <w:bookmarkStart w:id="0" w:name="_GoBack"/>
      <w:bookmarkEnd w:id="0"/>
      <w:r w:rsidR="008C364E">
        <w:t xml:space="preserve">d interpretation of </w:t>
      </w:r>
      <w:r w:rsidR="00E403C0">
        <w:t xml:space="preserve">this </w:t>
      </w:r>
      <w:r w:rsidR="008C364E">
        <w:t>P</w:t>
      </w:r>
      <w:r w:rsidR="00321F0C">
        <w:t>rocedure</w:t>
      </w:r>
      <w:r w:rsidR="00E403C0">
        <w:t>.</w:t>
      </w:r>
      <w:r w:rsidR="008C364E">
        <w:t xml:space="preserve"> </w:t>
      </w:r>
      <w:r>
        <w:t xml:space="preserve"> </w:t>
      </w:r>
    </w:p>
    <w:p w14:paraId="6F841FF4" w14:textId="77777777" w:rsidR="00347BFC" w:rsidRDefault="00347BFC" w:rsidP="000E4733">
      <w:pPr>
        <w:spacing w:after="120"/>
        <w:ind w:firstLine="0"/>
        <w:rPr>
          <w:b/>
        </w:rPr>
      </w:pPr>
    </w:p>
    <w:p w14:paraId="3ACAB74C" w14:textId="0864AE19" w:rsidR="00940BF3" w:rsidRDefault="00940BF3" w:rsidP="005C656F">
      <w:pPr>
        <w:spacing w:after="120"/>
        <w:ind w:firstLine="0"/>
        <w:rPr>
          <w:b/>
        </w:rPr>
      </w:pPr>
      <w:r w:rsidRPr="00C637FA">
        <w:rPr>
          <w:b/>
        </w:rPr>
        <w:t>P</w:t>
      </w:r>
      <w:r w:rsidR="00321F0C">
        <w:rPr>
          <w:b/>
        </w:rPr>
        <w:t>ROCEDURE</w:t>
      </w:r>
    </w:p>
    <w:p w14:paraId="72FD21D8" w14:textId="489EF19B" w:rsidR="00E403C0" w:rsidRDefault="00E403C0" w:rsidP="00AF4FD7">
      <w:pPr>
        <w:pStyle w:val="ListParagraph"/>
        <w:numPr>
          <w:ilvl w:val="0"/>
          <w:numId w:val="2"/>
        </w:numPr>
        <w:spacing w:after="120"/>
        <w:contextualSpacing w:val="0"/>
      </w:pPr>
      <w:r w:rsidRPr="00AF4FD7">
        <w:t>Whe</w:t>
      </w:r>
      <w:r>
        <w:t>n</w:t>
      </w:r>
      <w:r w:rsidRPr="00AF4FD7">
        <w:t xml:space="preserve"> a contract has approval requirements under both the Expenditure Signing Authority Procedure and th</w:t>
      </w:r>
      <w:r>
        <w:t xml:space="preserve">is Procedure, the approval requirements of both Procedures must be </w:t>
      </w:r>
      <w:r w:rsidR="00FA27F7">
        <w:t>addressed</w:t>
      </w:r>
      <w:r w:rsidR="00BF47A7">
        <w:t>, with the Expenditure Signing Authority Procedure taking precedence.</w:t>
      </w:r>
    </w:p>
    <w:p w14:paraId="6536CC6B" w14:textId="5C7F6ABD" w:rsidR="00BF47A7" w:rsidRDefault="00BF47A7" w:rsidP="00AF4FD7">
      <w:pPr>
        <w:pStyle w:val="ListParagraph"/>
        <w:numPr>
          <w:ilvl w:val="1"/>
          <w:numId w:val="2"/>
        </w:numPr>
        <w:spacing w:after="120"/>
        <w:contextualSpacing w:val="0"/>
      </w:pPr>
      <w:r>
        <w:t>Prior to approving and signing a contract, the Expenditure Signing Authority will consult with the Second Approver (or delegate) under this Procedure to obtain approval.</w:t>
      </w:r>
    </w:p>
    <w:p w14:paraId="1D92157D" w14:textId="0CF01FB5" w:rsidR="009855AB" w:rsidRPr="009855AB" w:rsidRDefault="009855AB" w:rsidP="00AF4FD7">
      <w:pPr>
        <w:pStyle w:val="ListParagraph"/>
        <w:numPr>
          <w:ilvl w:val="0"/>
          <w:numId w:val="2"/>
        </w:numPr>
        <w:spacing w:after="120"/>
        <w:contextualSpacing w:val="0"/>
        <w:rPr>
          <w:b/>
        </w:rPr>
      </w:pPr>
      <w:r w:rsidRPr="009855AB">
        <w:rPr>
          <w:b/>
        </w:rPr>
        <w:t>Delegation of signing authority</w:t>
      </w:r>
    </w:p>
    <w:p w14:paraId="75A93E06" w14:textId="5D968C60" w:rsidR="00F301D2" w:rsidRDefault="009855AB" w:rsidP="00AF4FD7">
      <w:pPr>
        <w:pStyle w:val="ListParagraph"/>
        <w:numPr>
          <w:ilvl w:val="1"/>
          <w:numId w:val="2"/>
        </w:numPr>
        <w:spacing w:after="120"/>
        <w:contextualSpacing w:val="0"/>
      </w:pPr>
      <w:r w:rsidRPr="00263328">
        <w:t xml:space="preserve">Authorized approvers are permitted to delegate their signing authority to other individuals within their faculty/department. All </w:t>
      </w:r>
      <w:r w:rsidR="00760D63">
        <w:t>d</w:t>
      </w:r>
      <w:r w:rsidR="00760D63" w:rsidRPr="00263328">
        <w:t xml:space="preserve">elegation </w:t>
      </w:r>
      <w:r w:rsidRPr="00263328">
        <w:t xml:space="preserve">of </w:t>
      </w:r>
      <w:r w:rsidR="00760D63">
        <w:t>a</w:t>
      </w:r>
      <w:r w:rsidR="00760D63" w:rsidRPr="00263328">
        <w:t xml:space="preserve">uthority </w:t>
      </w:r>
      <w:r w:rsidRPr="00263328">
        <w:t xml:space="preserve">must be </w:t>
      </w:r>
      <w:r w:rsidR="00F301D2">
        <w:t>in writing and retained with the agreement.</w:t>
      </w:r>
    </w:p>
    <w:p w14:paraId="51EB4272" w14:textId="695A768A" w:rsidR="009855AB" w:rsidRPr="00263328" w:rsidRDefault="00F301D2">
      <w:pPr>
        <w:pStyle w:val="ListParagraph"/>
        <w:numPr>
          <w:ilvl w:val="1"/>
          <w:numId w:val="2"/>
        </w:numPr>
        <w:spacing w:after="120"/>
        <w:contextualSpacing w:val="0"/>
      </w:pPr>
      <w:r>
        <w:t>T</w:t>
      </w:r>
      <w:r w:rsidR="009855AB" w:rsidRPr="00263328">
        <w:t xml:space="preserve">he delegate </w:t>
      </w:r>
      <w:r>
        <w:t>will</w:t>
      </w:r>
      <w:r w:rsidR="009855AB" w:rsidRPr="00263328">
        <w:t xml:space="preserve"> provide the delegator with an executed copy of any and all documents signed after execution.</w:t>
      </w:r>
      <w:r w:rsidR="00404D32">
        <w:t xml:space="preserve"> The delegator is responsible for agreements signed under their delegated authority.</w:t>
      </w:r>
    </w:p>
    <w:p w14:paraId="5594B34E" w14:textId="4E827675" w:rsidR="00E403C0" w:rsidRPr="00AF4FD7" w:rsidRDefault="00E5289E" w:rsidP="00392187">
      <w:pPr>
        <w:pStyle w:val="ListParagraph"/>
        <w:numPr>
          <w:ilvl w:val="0"/>
          <w:numId w:val="2"/>
        </w:numPr>
        <w:spacing w:after="120"/>
        <w:contextualSpacing w:val="0"/>
        <w:rPr>
          <w:b/>
        </w:rPr>
      </w:pPr>
      <w:r w:rsidRPr="00271798">
        <w:t xml:space="preserve">Where </w:t>
      </w:r>
      <w:r>
        <w:t xml:space="preserve">a specific unit does not have an applicable First Approver, </w:t>
      </w:r>
      <w:r w:rsidRPr="00271798">
        <w:t>first approval may be provided by the Second Approver and second approval by their one-over</w:t>
      </w:r>
      <w:r w:rsidR="00307731">
        <w:t>-</w:t>
      </w:r>
      <w:r w:rsidRPr="00271798">
        <w:t>one</w:t>
      </w:r>
      <w:r>
        <w:t>.</w:t>
      </w:r>
    </w:p>
    <w:p w14:paraId="64DD80DD" w14:textId="25AC1454" w:rsidR="0095445C" w:rsidRPr="003A232C" w:rsidRDefault="00404D32" w:rsidP="005C656F">
      <w:pPr>
        <w:pStyle w:val="ListParagraph"/>
        <w:numPr>
          <w:ilvl w:val="0"/>
          <w:numId w:val="2"/>
        </w:numPr>
        <w:spacing w:after="120"/>
        <w:contextualSpacing w:val="0"/>
        <w:rPr>
          <w:b/>
        </w:rPr>
      </w:pPr>
      <w:r>
        <w:rPr>
          <w:b/>
        </w:rPr>
        <w:t>A</w:t>
      </w:r>
      <w:r w:rsidR="0095445C" w:rsidRPr="003A232C">
        <w:rPr>
          <w:b/>
        </w:rPr>
        <w:t xml:space="preserve">pplications </w:t>
      </w:r>
      <w:r w:rsidR="005B037E">
        <w:rPr>
          <w:b/>
        </w:rPr>
        <w:t>and proposals</w:t>
      </w:r>
      <w:r w:rsidR="000F46D4">
        <w:rPr>
          <w:b/>
        </w:rPr>
        <w:t xml:space="preserve"> </w:t>
      </w:r>
      <w:r>
        <w:rPr>
          <w:b/>
        </w:rPr>
        <w:t>for incoming research funding</w:t>
      </w:r>
      <w:r w:rsidR="008400E9">
        <w:rPr>
          <w:b/>
        </w:rPr>
        <w:t xml:space="preserve"> </w:t>
      </w:r>
    </w:p>
    <w:p w14:paraId="6D6C6B65" w14:textId="75C97252" w:rsidR="00392187" w:rsidRDefault="005B037E" w:rsidP="005C656F">
      <w:pPr>
        <w:pStyle w:val="ListParagraph"/>
        <w:numPr>
          <w:ilvl w:val="1"/>
          <w:numId w:val="2"/>
        </w:numPr>
        <w:spacing w:after="120"/>
        <w:contextualSpacing w:val="0"/>
      </w:pPr>
      <w:r>
        <w:t>All a</w:t>
      </w:r>
      <w:r w:rsidR="00751643">
        <w:t xml:space="preserve">pplications and proposals for research </w:t>
      </w:r>
      <w:r>
        <w:t>may be approved by the Vice-President, Research and Innovation</w:t>
      </w:r>
      <w:r w:rsidR="00392187">
        <w:t>.</w:t>
      </w:r>
    </w:p>
    <w:p w14:paraId="468D95CF" w14:textId="7D6001B3" w:rsidR="005B037E" w:rsidRDefault="005B037E" w:rsidP="005C656F">
      <w:pPr>
        <w:pStyle w:val="ListParagraph"/>
        <w:numPr>
          <w:ilvl w:val="1"/>
          <w:numId w:val="2"/>
        </w:numPr>
        <w:spacing w:after="120"/>
        <w:contextualSpacing w:val="0"/>
      </w:pPr>
      <w:r>
        <w:t xml:space="preserve">Applications or proposals </w:t>
      </w:r>
      <w:r w:rsidR="00907481">
        <w:t xml:space="preserve">with </w:t>
      </w:r>
      <w:r>
        <w:t>a value of up to $</w:t>
      </w:r>
      <w:r w:rsidR="00F301D2">
        <w:t>1M</w:t>
      </w:r>
      <w:r w:rsidR="00392187">
        <w:t xml:space="preserve"> </w:t>
      </w:r>
      <w:r>
        <w:t>(CAD) may be approved by the Executive Director, Office of Research Services.</w:t>
      </w:r>
    </w:p>
    <w:p w14:paraId="53A292AA" w14:textId="1589DCA6" w:rsidR="00AC4190" w:rsidRPr="00AF4FD7" w:rsidRDefault="00AC4190" w:rsidP="00AF4FD7">
      <w:pPr>
        <w:pStyle w:val="ListParagraph"/>
        <w:numPr>
          <w:ilvl w:val="0"/>
          <w:numId w:val="2"/>
        </w:numPr>
        <w:spacing w:after="120"/>
        <w:contextualSpacing w:val="0"/>
        <w:rPr>
          <w:b/>
        </w:rPr>
      </w:pPr>
      <w:r w:rsidRPr="00AF4FD7">
        <w:rPr>
          <w:b/>
        </w:rPr>
        <w:lastRenderedPageBreak/>
        <w:t>Successful proposals for</w:t>
      </w:r>
      <w:r>
        <w:rPr>
          <w:b/>
        </w:rPr>
        <w:t xml:space="preserve"> incoming</w:t>
      </w:r>
      <w:r w:rsidRPr="00AF4FD7">
        <w:rPr>
          <w:b/>
        </w:rPr>
        <w:t xml:space="preserve"> research funding</w:t>
      </w:r>
    </w:p>
    <w:p w14:paraId="64DAD48C" w14:textId="672E29A2" w:rsidR="001F167F" w:rsidRDefault="00DD6A99" w:rsidP="00DD6A99">
      <w:pPr>
        <w:pStyle w:val="ListParagraph"/>
        <w:numPr>
          <w:ilvl w:val="1"/>
          <w:numId w:val="2"/>
        </w:numPr>
        <w:spacing w:after="120"/>
        <w:contextualSpacing w:val="0"/>
      </w:pPr>
      <w:r>
        <w:t>All successful research grants with a value of up to $</w:t>
      </w:r>
      <w:r w:rsidR="00392187">
        <w:t xml:space="preserve">4M </w:t>
      </w:r>
      <w:r>
        <w:t xml:space="preserve">(CAD) will be approved by the Vice-President, Research and Innovation. </w:t>
      </w:r>
    </w:p>
    <w:p w14:paraId="5756EC0A" w14:textId="2D8773B1" w:rsidR="00F301D2" w:rsidRDefault="00107FAB" w:rsidP="00DD6A99">
      <w:pPr>
        <w:pStyle w:val="ListParagraph"/>
        <w:numPr>
          <w:ilvl w:val="1"/>
          <w:numId w:val="2"/>
        </w:numPr>
        <w:spacing w:after="120"/>
        <w:contextualSpacing w:val="0"/>
      </w:pPr>
      <w:r>
        <w:t xml:space="preserve">Successful research </w:t>
      </w:r>
      <w:r w:rsidR="00DD6A99">
        <w:t>grants with a value greater than $</w:t>
      </w:r>
      <w:r w:rsidR="00392187">
        <w:t xml:space="preserve">4M </w:t>
      </w:r>
      <w:r w:rsidR="00DD6A99">
        <w:t>will be approved by the Vice-President, Research and Innovation (First Approver) and the President (Second Approver).</w:t>
      </w:r>
      <w:r w:rsidR="001F167F">
        <w:t xml:space="preserve"> </w:t>
      </w:r>
      <w:r w:rsidR="00F301D2">
        <w:t xml:space="preserve">Each quarter, the </w:t>
      </w:r>
      <w:r w:rsidR="00F301D2" w:rsidRPr="00F301D2">
        <w:t xml:space="preserve">President </w:t>
      </w:r>
      <w:r w:rsidR="00F301D2">
        <w:t>will report the list of agreements executed in the prior quarter with a value between $</w:t>
      </w:r>
      <w:r w:rsidR="00392187">
        <w:t>4</w:t>
      </w:r>
      <w:r w:rsidR="00F301D2">
        <w:t>M to $10M.</w:t>
      </w:r>
    </w:p>
    <w:p w14:paraId="3902EE04" w14:textId="11AA9B03" w:rsidR="001F167F" w:rsidRDefault="00107FAB">
      <w:pPr>
        <w:pStyle w:val="ListParagraph"/>
        <w:numPr>
          <w:ilvl w:val="1"/>
          <w:numId w:val="2"/>
        </w:numPr>
        <w:spacing w:after="120"/>
        <w:contextualSpacing w:val="0"/>
      </w:pPr>
      <w:r>
        <w:t>Successful r</w:t>
      </w:r>
      <w:r w:rsidR="001F167F">
        <w:t>esearch Grants with a value greater than $10M will be approved by the Vice-President, Research and Innovation</w:t>
      </w:r>
      <w:r w:rsidR="00F301D2">
        <w:t xml:space="preserve"> and President</w:t>
      </w:r>
      <w:r w:rsidR="001F167F">
        <w:t xml:space="preserve"> (First Approver) and the Board of Governors (Second Approver).</w:t>
      </w:r>
    </w:p>
    <w:p w14:paraId="535FC553" w14:textId="61D44D05" w:rsidR="00107FAB" w:rsidRDefault="00760D63" w:rsidP="005B037E">
      <w:pPr>
        <w:pStyle w:val="ListParagraph"/>
        <w:numPr>
          <w:ilvl w:val="0"/>
          <w:numId w:val="2"/>
        </w:numPr>
        <w:spacing w:after="120"/>
        <w:contextualSpacing w:val="0"/>
        <w:rPr>
          <w:b/>
        </w:rPr>
      </w:pPr>
      <w:r>
        <w:rPr>
          <w:b/>
        </w:rPr>
        <w:t>Government t</w:t>
      </w:r>
      <w:r w:rsidR="00107FAB">
        <w:rPr>
          <w:b/>
        </w:rPr>
        <w:t xml:space="preserve">ransfer payment agreements </w:t>
      </w:r>
    </w:p>
    <w:p w14:paraId="54492983" w14:textId="77777777" w:rsidR="00760D63" w:rsidRDefault="00F301D2" w:rsidP="007B00F0">
      <w:pPr>
        <w:pStyle w:val="ListParagraph"/>
        <w:numPr>
          <w:ilvl w:val="1"/>
          <w:numId w:val="2"/>
        </w:numPr>
        <w:spacing w:after="120"/>
        <w:contextualSpacing w:val="0"/>
      </w:pPr>
      <w:r>
        <w:t xml:space="preserve">Government </w:t>
      </w:r>
      <w:r w:rsidR="00107FAB" w:rsidRPr="00AF4FD7">
        <w:t>Transfer Payment Agreements (</w:t>
      </w:r>
      <w:r w:rsidR="002B333A">
        <w:t xml:space="preserve">of </w:t>
      </w:r>
      <w:r w:rsidR="00107FAB" w:rsidRPr="00AF4FD7">
        <w:t>any value) may be approved by the President</w:t>
      </w:r>
      <w:r w:rsidR="00760D63">
        <w:t xml:space="preserve">. </w:t>
      </w:r>
    </w:p>
    <w:p w14:paraId="02A0FFEF" w14:textId="140A111F" w:rsidR="00107FAB" w:rsidRDefault="00760D63" w:rsidP="007B00F0">
      <w:pPr>
        <w:pStyle w:val="ListParagraph"/>
        <w:numPr>
          <w:ilvl w:val="1"/>
          <w:numId w:val="2"/>
        </w:numPr>
        <w:spacing w:after="120"/>
        <w:contextualSpacing w:val="0"/>
      </w:pPr>
      <w:r>
        <w:t xml:space="preserve">Government Transfer Payment Agreements may also be approved according to the table in Section 13. </w:t>
      </w:r>
    </w:p>
    <w:p w14:paraId="25461B55" w14:textId="548D4F98" w:rsidR="00F80985" w:rsidRDefault="00F80985" w:rsidP="005B037E">
      <w:pPr>
        <w:pStyle w:val="ListParagraph"/>
        <w:numPr>
          <w:ilvl w:val="0"/>
          <w:numId w:val="2"/>
        </w:numPr>
        <w:spacing w:after="120"/>
        <w:contextualSpacing w:val="0"/>
        <w:rPr>
          <w:b/>
        </w:rPr>
      </w:pPr>
      <w:r>
        <w:rPr>
          <w:b/>
        </w:rPr>
        <w:t>Gift agreements</w:t>
      </w:r>
    </w:p>
    <w:p w14:paraId="4C336A50" w14:textId="241F79F4" w:rsidR="00F80985" w:rsidRDefault="002B333A" w:rsidP="00F80985">
      <w:pPr>
        <w:pStyle w:val="ListParagraph"/>
        <w:numPr>
          <w:ilvl w:val="1"/>
          <w:numId w:val="2"/>
        </w:numPr>
        <w:spacing w:after="120"/>
        <w:contextualSpacing w:val="0"/>
      </w:pPr>
      <w:r>
        <w:t>G</w:t>
      </w:r>
      <w:r w:rsidR="00F80985" w:rsidRPr="00AF4FD7">
        <w:t>ift agreements</w:t>
      </w:r>
      <w:r>
        <w:t xml:space="preserve"> with a value of up to $</w:t>
      </w:r>
      <w:r w:rsidR="00392187">
        <w:t>4</w:t>
      </w:r>
      <w:r>
        <w:t>M</w:t>
      </w:r>
      <w:r w:rsidR="00F80985" w:rsidRPr="00AF4FD7">
        <w:t xml:space="preserve"> will be </w:t>
      </w:r>
      <w:r w:rsidR="00F80985">
        <w:t>approved</w:t>
      </w:r>
      <w:r w:rsidR="00F80985" w:rsidRPr="00AF4FD7">
        <w:t xml:space="preserve"> by the Vice-President, External Relations and Advancement (or designate)</w:t>
      </w:r>
    </w:p>
    <w:p w14:paraId="2550E382" w14:textId="70826448" w:rsidR="002B333A" w:rsidRDefault="002B333A" w:rsidP="00F80985">
      <w:pPr>
        <w:pStyle w:val="ListParagraph"/>
        <w:numPr>
          <w:ilvl w:val="1"/>
          <w:numId w:val="2"/>
        </w:numPr>
        <w:spacing w:after="120"/>
        <w:contextualSpacing w:val="0"/>
      </w:pPr>
      <w:r>
        <w:t xml:space="preserve">Gift agreements </w:t>
      </w:r>
      <w:r w:rsidRPr="002B333A">
        <w:t>with a value greater than $</w:t>
      </w:r>
      <w:r w:rsidR="00392187">
        <w:t>4</w:t>
      </w:r>
      <w:r w:rsidRPr="002B333A">
        <w:t>M will be approved by the Vice-</w:t>
      </w:r>
      <w:r w:rsidRPr="00392187">
        <w:t>President, Research and Innovation (First Approver) and the President (Second Approver)</w:t>
      </w:r>
      <w:r w:rsidR="00392187" w:rsidRPr="00392187">
        <w:t>. Each quarter, the President will report the list of agreements executed in the prior quarter with a value between $4M to $10M.</w:t>
      </w:r>
    </w:p>
    <w:p w14:paraId="27D8C4CF" w14:textId="1B4D8B99" w:rsidR="002B333A" w:rsidRPr="00AF4FD7" w:rsidRDefault="002B333A" w:rsidP="00AF4FD7">
      <w:pPr>
        <w:pStyle w:val="ListParagraph"/>
        <w:numPr>
          <w:ilvl w:val="1"/>
          <w:numId w:val="2"/>
        </w:numPr>
        <w:spacing w:after="120"/>
        <w:contextualSpacing w:val="0"/>
      </w:pPr>
      <w:r>
        <w:t xml:space="preserve">Gift agreements </w:t>
      </w:r>
      <w:r w:rsidRPr="002B333A">
        <w:t>with a value greater than $10M will be approved by the Vice-President, Research and Innovation (First Approver) and the Board of Governors (Second Approver).</w:t>
      </w:r>
    </w:p>
    <w:p w14:paraId="14AFD7AE" w14:textId="5DE7EB98" w:rsidR="005B037E" w:rsidRDefault="005B037E" w:rsidP="005B037E">
      <w:pPr>
        <w:pStyle w:val="ListParagraph"/>
        <w:numPr>
          <w:ilvl w:val="0"/>
          <w:numId w:val="2"/>
        </w:numPr>
        <w:spacing w:after="120"/>
        <w:contextualSpacing w:val="0"/>
        <w:rPr>
          <w:b/>
        </w:rPr>
      </w:pPr>
      <w:r w:rsidRPr="00A56234">
        <w:rPr>
          <w:b/>
        </w:rPr>
        <w:t>Signing Authority for agreements with incoming funds (grants,</w:t>
      </w:r>
      <w:r>
        <w:rPr>
          <w:b/>
        </w:rPr>
        <w:t xml:space="preserve"> transfer payment agreements,</w:t>
      </w:r>
      <w:r w:rsidRPr="00A56234">
        <w:rPr>
          <w:b/>
        </w:rPr>
        <w:t xml:space="preserve"> awards, gift agreements)</w:t>
      </w:r>
      <w:r w:rsidR="00DD6A99">
        <w:rPr>
          <w:b/>
        </w:rPr>
        <w:t xml:space="preserve"> </w:t>
      </w:r>
      <w:r w:rsidR="00DD6A99" w:rsidRPr="00DD6A99">
        <w:rPr>
          <w:b/>
        </w:rPr>
        <w:t>other than research funding</w:t>
      </w:r>
    </w:p>
    <w:p w14:paraId="1F4B59EC" w14:textId="380E29B8" w:rsidR="00107FAB" w:rsidRDefault="00107FAB" w:rsidP="005B037E">
      <w:pPr>
        <w:pStyle w:val="ListParagraph"/>
        <w:numPr>
          <w:ilvl w:val="1"/>
          <w:numId w:val="2"/>
        </w:numPr>
        <w:spacing w:after="120"/>
        <w:contextualSpacing w:val="0"/>
      </w:pPr>
      <w:r w:rsidRPr="00107FAB">
        <w:t>The following table is used to determine the First and Second Approver, based on the Value of the incoming funds. Agreements less than $10,000 require only one approver (denoted as one of the categories marked with a * in the table below). Values of incoming funds above $10,000 require two approvers, with individuals who may act as First and Second approver being set out as per the below table.  For clarity, the First Approver noted in the table below is minimum authority level.  Any individual who is denoted in the table as a possible Second Approver may also serve as the First Approver.</w:t>
      </w:r>
    </w:p>
    <w:p w14:paraId="6DDFE7EE" w14:textId="2CFEB5D7" w:rsidR="005B037E" w:rsidRPr="00367DBA" w:rsidRDefault="005B037E" w:rsidP="00AF4FD7">
      <w:pPr>
        <w:spacing w:after="120"/>
        <w:ind w:firstLine="0"/>
      </w:pPr>
    </w:p>
    <w:tbl>
      <w:tblPr>
        <w:tblStyle w:val="TableGrid"/>
        <w:tblW w:w="9625" w:type="dxa"/>
        <w:tblInd w:w="610" w:type="dxa"/>
        <w:tblLook w:val="04A0" w:firstRow="1" w:lastRow="0" w:firstColumn="1" w:lastColumn="0" w:noHBand="0" w:noVBand="1"/>
      </w:tblPr>
      <w:tblGrid>
        <w:gridCol w:w="2472"/>
        <w:gridCol w:w="947"/>
        <w:gridCol w:w="1058"/>
        <w:gridCol w:w="1053"/>
        <w:gridCol w:w="1186"/>
        <w:gridCol w:w="1029"/>
        <w:gridCol w:w="805"/>
        <w:gridCol w:w="1075"/>
      </w:tblGrid>
      <w:tr w:rsidR="005B037E" w14:paraId="04C57A51" w14:textId="77777777" w:rsidTr="00271798">
        <w:tc>
          <w:tcPr>
            <w:tcW w:w="2472" w:type="dxa"/>
          </w:tcPr>
          <w:p w14:paraId="41D19570" w14:textId="77777777" w:rsidR="005B037E" w:rsidRDefault="005B037E" w:rsidP="007B00F0">
            <w:pPr>
              <w:spacing w:after="120"/>
              <w:ind w:firstLine="0"/>
            </w:pPr>
          </w:p>
        </w:tc>
        <w:tc>
          <w:tcPr>
            <w:tcW w:w="947" w:type="dxa"/>
          </w:tcPr>
          <w:p w14:paraId="205ECCD2" w14:textId="77777777" w:rsidR="005B037E" w:rsidRDefault="005B037E" w:rsidP="007B00F0">
            <w:pPr>
              <w:spacing w:after="120"/>
              <w:ind w:firstLine="0"/>
            </w:pPr>
            <w:r>
              <w:t>$10,000 or less</w:t>
            </w:r>
          </w:p>
        </w:tc>
        <w:tc>
          <w:tcPr>
            <w:tcW w:w="1058" w:type="dxa"/>
          </w:tcPr>
          <w:p w14:paraId="6FE453AD" w14:textId="77777777" w:rsidR="005B037E" w:rsidRDefault="005B037E" w:rsidP="007B00F0">
            <w:pPr>
              <w:spacing w:after="120"/>
              <w:ind w:firstLine="0"/>
            </w:pPr>
            <w:r>
              <w:t>$10,001-$100,000</w:t>
            </w:r>
          </w:p>
        </w:tc>
        <w:tc>
          <w:tcPr>
            <w:tcW w:w="1053" w:type="dxa"/>
          </w:tcPr>
          <w:p w14:paraId="256B0750" w14:textId="77777777" w:rsidR="005B037E" w:rsidRDefault="005B037E" w:rsidP="007B00F0">
            <w:pPr>
              <w:spacing w:after="120"/>
              <w:ind w:firstLine="0"/>
            </w:pPr>
            <w:r>
              <w:t>100,001- $250,000</w:t>
            </w:r>
          </w:p>
        </w:tc>
        <w:tc>
          <w:tcPr>
            <w:tcW w:w="1186" w:type="dxa"/>
          </w:tcPr>
          <w:p w14:paraId="16045E75" w14:textId="4292D56B" w:rsidR="005B037E" w:rsidRDefault="005B037E" w:rsidP="007B00F0">
            <w:pPr>
              <w:spacing w:after="120"/>
              <w:ind w:firstLine="0"/>
            </w:pPr>
            <w:r>
              <w:t>$250,001- $</w:t>
            </w:r>
            <w:r w:rsidR="00392187">
              <w:t>2</w:t>
            </w:r>
            <w:r>
              <w:t>M</w:t>
            </w:r>
          </w:p>
        </w:tc>
        <w:tc>
          <w:tcPr>
            <w:tcW w:w="1029" w:type="dxa"/>
          </w:tcPr>
          <w:p w14:paraId="40A8728A" w14:textId="547A7D46" w:rsidR="005B037E" w:rsidRDefault="005B037E" w:rsidP="007B00F0">
            <w:pPr>
              <w:spacing w:after="120"/>
              <w:ind w:firstLine="0"/>
            </w:pPr>
            <w:r>
              <w:t>$</w:t>
            </w:r>
            <w:r w:rsidR="00392187">
              <w:t xml:space="preserve">2M </w:t>
            </w:r>
            <w:r>
              <w:t>– $</w:t>
            </w:r>
            <w:r w:rsidR="00392187">
              <w:t>4M</w:t>
            </w:r>
          </w:p>
        </w:tc>
        <w:tc>
          <w:tcPr>
            <w:tcW w:w="805" w:type="dxa"/>
          </w:tcPr>
          <w:p w14:paraId="193EEF47" w14:textId="7A24C104" w:rsidR="005B037E" w:rsidRDefault="005B037E" w:rsidP="007B00F0">
            <w:pPr>
              <w:spacing w:after="120"/>
              <w:ind w:firstLine="0"/>
            </w:pPr>
            <w:r>
              <w:t>$</w:t>
            </w:r>
            <w:r w:rsidR="00392187">
              <w:t xml:space="preserve">4M </w:t>
            </w:r>
            <w:r>
              <w:t>- $10M</w:t>
            </w:r>
          </w:p>
        </w:tc>
        <w:tc>
          <w:tcPr>
            <w:tcW w:w="1075" w:type="dxa"/>
          </w:tcPr>
          <w:p w14:paraId="1E6E33C9" w14:textId="77777777" w:rsidR="005B037E" w:rsidRDefault="005B037E" w:rsidP="007B00F0">
            <w:pPr>
              <w:spacing w:after="120"/>
              <w:ind w:firstLine="0"/>
            </w:pPr>
            <w:r>
              <w:t>$10M or more</w:t>
            </w:r>
          </w:p>
        </w:tc>
      </w:tr>
      <w:tr w:rsidR="005B037E" w14:paraId="4F041F49" w14:textId="77777777" w:rsidTr="00271798">
        <w:tc>
          <w:tcPr>
            <w:tcW w:w="2472" w:type="dxa"/>
          </w:tcPr>
          <w:p w14:paraId="26F2362A" w14:textId="5DF8F339" w:rsidR="005B037E" w:rsidRPr="00BA135D" w:rsidRDefault="005B037E" w:rsidP="007B00F0">
            <w:pPr>
              <w:ind w:firstLine="0"/>
            </w:pPr>
            <w:r>
              <w:t>Finance Officer, Executive Assistant</w:t>
            </w:r>
          </w:p>
        </w:tc>
        <w:tc>
          <w:tcPr>
            <w:tcW w:w="947" w:type="dxa"/>
          </w:tcPr>
          <w:p w14:paraId="3514C0B3" w14:textId="3297B510" w:rsidR="005B037E" w:rsidRDefault="005B037E" w:rsidP="007B00F0">
            <w:pPr>
              <w:spacing w:after="120"/>
              <w:ind w:firstLine="0"/>
            </w:pPr>
          </w:p>
        </w:tc>
        <w:tc>
          <w:tcPr>
            <w:tcW w:w="1058" w:type="dxa"/>
          </w:tcPr>
          <w:p w14:paraId="78316BE4" w14:textId="77777777" w:rsidR="005B037E" w:rsidRDefault="005B037E" w:rsidP="007B00F0">
            <w:pPr>
              <w:spacing w:after="120"/>
              <w:ind w:firstLine="0"/>
            </w:pPr>
            <w:r>
              <w:t>X</w:t>
            </w:r>
          </w:p>
        </w:tc>
        <w:tc>
          <w:tcPr>
            <w:tcW w:w="1053" w:type="dxa"/>
          </w:tcPr>
          <w:p w14:paraId="1B04F401" w14:textId="0109FB1C" w:rsidR="005B037E" w:rsidRDefault="005B037E" w:rsidP="007B00F0">
            <w:pPr>
              <w:spacing w:after="120"/>
              <w:ind w:firstLine="0"/>
            </w:pPr>
          </w:p>
        </w:tc>
        <w:tc>
          <w:tcPr>
            <w:tcW w:w="1186" w:type="dxa"/>
          </w:tcPr>
          <w:p w14:paraId="28118CAD" w14:textId="77777777" w:rsidR="005B037E" w:rsidRDefault="005B037E" w:rsidP="007B00F0">
            <w:pPr>
              <w:spacing w:after="120"/>
              <w:ind w:firstLine="0"/>
            </w:pPr>
          </w:p>
        </w:tc>
        <w:tc>
          <w:tcPr>
            <w:tcW w:w="1029" w:type="dxa"/>
          </w:tcPr>
          <w:p w14:paraId="444E992C" w14:textId="77777777" w:rsidR="005B037E" w:rsidRDefault="005B037E" w:rsidP="007B00F0">
            <w:pPr>
              <w:spacing w:after="120"/>
              <w:ind w:firstLine="0"/>
            </w:pPr>
          </w:p>
        </w:tc>
        <w:tc>
          <w:tcPr>
            <w:tcW w:w="805" w:type="dxa"/>
          </w:tcPr>
          <w:p w14:paraId="1656FC09" w14:textId="77777777" w:rsidR="005B037E" w:rsidRDefault="005B037E" w:rsidP="007B00F0">
            <w:pPr>
              <w:spacing w:after="120"/>
              <w:ind w:firstLine="0"/>
            </w:pPr>
          </w:p>
        </w:tc>
        <w:tc>
          <w:tcPr>
            <w:tcW w:w="1075" w:type="dxa"/>
          </w:tcPr>
          <w:p w14:paraId="220FB0F3" w14:textId="77777777" w:rsidR="005B037E" w:rsidRDefault="005B037E" w:rsidP="007B00F0">
            <w:pPr>
              <w:spacing w:after="120"/>
              <w:ind w:firstLine="0"/>
            </w:pPr>
          </w:p>
        </w:tc>
      </w:tr>
      <w:tr w:rsidR="005B037E" w14:paraId="381ACDD6" w14:textId="77777777" w:rsidTr="00271798">
        <w:tc>
          <w:tcPr>
            <w:tcW w:w="2472" w:type="dxa"/>
          </w:tcPr>
          <w:p w14:paraId="6C311885" w14:textId="77777777" w:rsidR="005B037E" w:rsidRPr="00BA135D" w:rsidRDefault="005B037E" w:rsidP="007B00F0">
            <w:pPr>
              <w:ind w:firstLine="0"/>
            </w:pPr>
            <w:r w:rsidRPr="00BA135D">
              <w:lastRenderedPageBreak/>
              <w:t>Manager, Assoc. Dean, Associate Registrar</w:t>
            </w:r>
          </w:p>
        </w:tc>
        <w:tc>
          <w:tcPr>
            <w:tcW w:w="947" w:type="dxa"/>
          </w:tcPr>
          <w:p w14:paraId="3286A0D3" w14:textId="77777777" w:rsidR="005B037E" w:rsidRDefault="005B037E" w:rsidP="007B00F0">
            <w:pPr>
              <w:spacing w:after="120"/>
              <w:ind w:firstLine="0"/>
            </w:pPr>
            <w:r>
              <w:t>*</w:t>
            </w:r>
          </w:p>
        </w:tc>
        <w:tc>
          <w:tcPr>
            <w:tcW w:w="1058" w:type="dxa"/>
          </w:tcPr>
          <w:p w14:paraId="71D497E4" w14:textId="77777777" w:rsidR="005B037E" w:rsidRDefault="005B037E" w:rsidP="007B00F0">
            <w:pPr>
              <w:spacing w:after="120"/>
              <w:ind w:firstLine="0"/>
            </w:pPr>
            <w:r>
              <w:t>Y</w:t>
            </w:r>
          </w:p>
        </w:tc>
        <w:tc>
          <w:tcPr>
            <w:tcW w:w="1053" w:type="dxa"/>
          </w:tcPr>
          <w:p w14:paraId="03D3EC7C" w14:textId="63117DA1" w:rsidR="005B037E" w:rsidRDefault="00345914" w:rsidP="007B00F0">
            <w:pPr>
              <w:spacing w:after="120"/>
              <w:ind w:firstLine="0"/>
            </w:pPr>
            <w:r>
              <w:t>X</w:t>
            </w:r>
          </w:p>
        </w:tc>
        <w:tc>
          <w:tcPr>
            <w:tcW w:w="1186" w:type="dxa"/>
          </w:tcPr>
          <w:p w14:paraId="7423FED3" w14:textId="77777777" w:rsidR="005B037E" w:rsidRDefault="005B037E" w:rsidP="007B00F0">
            <w:pPr>
              <w:spacing w:after="120"/>
              <w:ind w:firstLine="0"/>
            </w:pPr>
            <w:r>
              <w:t>X</w:t>
            </w:r>
          </w:p>
        </w:tc>
        <w:tc>
          <w:tcPr>
            <w:tcW w:w="1029" w:type="dxa"/>
          </w:tcPr>
          <w:p w14:paraId="23F3E42F" w14:textId="1BEBA5F1" w:rsidR="005B037E" w:rsidRDefault="00345914" w:rsidP="007B00F0">
            <w:pPr>
              <w:spacing w:after="120"/>
              <w:ind w:firstLine="0"/>
            </w:pPr>
            <w:r>
              <w:t>X</w:t>
            </w:r>
          </w:p>
        </w:tc>
        <w:tc>
          <w:tcPr>
            <w:tcW w:w="805" w:type="dxa"/>
          </w:tcPr>
          <w:p w14:paraId="5E85988B" w14:textId="77777777" w:rsidR="005B037E" w:rsidRDefault="005B037E" w:rsidP="007B00F0">
            <w:pPr>
              <w:spacing w:after="120"/>
              <w:ind w:firstLine="0"/>
            </w:pPr>
          </w:p>
        </w:tc>
        <w:tc>
          <w:tcPr>
            <w:tcW w:w="1075" w:type="dxa"/>
          </w:tcPr>
          <w:p w14:paraId="4639F28C" w14:textId="77777777" w:rsidR="005B037E" w:rsidRDefault="005B037E" w:rsidP="007B00F0">
            <w:pPr>
              <w:spacing w:after="120"/>
              <w:ind w:firstLine="0"/>
            </w:pPr>
          </w:p>
        </w:tc>
      </w:tr>
      <w:tr w:rsidR="005B037E" w14:paraId="1CE3EC8B" w14:textId="77777777" w:rsidTr="00271798">
        <w:tc>
          <w:tcPr>
            <w:tcW w:w="2472" w:type="dxa"/>
          </w:tcPr>
          <w:p w14:paraId="77575093" w14:textId="77777777" w:rsidR="005B037E" w:rsidRPr="00BA135D" w:rsidRDefault="005B037E" w:rsidP="007B00F0">
            <w:pPr>
              <w:ind w:firstLine="0"/>
            </w:pPr>
            <w:r w:rsidRPr="00BA135D">
              <w:t>Director, Executive Director, AVP, General Manager, Registrar, Assoc. Provost, Dean</w:t>
            </w:r>
            <w:r w:rsidRPr="00BA135D" w:rsidDel="00D2615F">
              <w:t xml:space="preserve"> </w:t>
            </w:r>
          </w:p>
        </w:tc>
        <w:tc>
          <w:tcPr>
            <w:tcW w:w="947" w:type="dxa"/>
          </w:tcPr>
          <w:p w14:paraId="6BBAFC54" w14:textId="310D7696" w:rsidR="005B037E" w:rsidRDefault="005B037E" w:rsidP="007B00F0">
            <w:pPr>
              <w:spacing w:after="120"/>
              <w:ind w:firstLine="0"/>
            </w:pPr>
          </w:p>
        </w:tc>
        <w:tc>
          <w:tcPr>
            <w:tcW w:w="1058" w:type="dxa"/>
          </w:tcPr>
          <w:p w14:paraId="7F6F1620" w14:textId="6C8B1DF3" w:rsidR="005B037E" w:rsidRDefault="005B037E" w:rsidP="007B00F0">
            <w:pPr>
              <w:spacing w:after="120"/>
              <w:ind w:firstLine="0"/>
            </w:pPr>
          </w:p>
        </w:tc>
        <w:tc>
          <w:tcPr>
            <w:tcW w:w="1053" w:type="dxa"/>
          </w:tcPr>
          <w:p w14:paraId="63B0D451" w14:textId="77777777" w:rsidR="005B037E" w:rsidRDefault="005B037E" w:rsidP="007B00F0">
            <w:pPr>
              <w:spacing w:after="120"/>
              <w:ind w:firstLine="0"/>
            </w:pPr>
            <w:r>
              <w:t>Y</w:t>
            </w:r>
          </w:p>
        </w:tc>
        <w:tc>
          <w:tcPr>
            <w:tcW w:w="1186" w:type="dxa"/>
          </w:tcPr>
          <w:p w14:paraId="11CE09A9" w14:textId="3008DBBB" w:rsidR="005B037E" w:rsidRDefault="005B037E" w:rsidP="007B00F0">
            <w:pPr>
              <w:spacing w:after="120"/>
              <w:ind w:firstLine="0"/>
            </w:pPr>
          </w:p>
        </w:tc>
        <w:tc>
          <w:tcPr>
            <w:tcW w:w="1029" w:type="dxa"/>
          </w:tcPr>
          <w:p w14:paraId="285550E4" w14:textId="5EE25080" w:rsidR="005B037E" w:rsidRDefault="005B037E" w:rsidP="007B00F0">
            <w:pPr>
              <w:spacing w:after="120"/>
              <w:ind w:firstLine="0"/>
            </w:pPr>
          </w:p>
        </w:tc>
        <w:tc>
          <w:tcPr>
            <w:tcW w:w="805" w:type="dxa"/>
          </w:tcPr>
          <w:p w14:paraId="6C0D1304" w14:textId="77777777" w:rsidR="005B037E" w:rsidRDefault="005B037E" w:rsidP="007B00F0">
            <w:pPr>
              <w:spacing w:after="120"/>
              <w:ind w:firstLine="0"/>
            </w:pPr>
          </w:p>
        </w:tc>
        <w:tc>
          <w:tcPr>
            <w:tcW w:w="1075" w:type="dxa"/>
          </w:tcPr>
          <w:p w14:paraId="4C9F78A3" w14:textId="77777777" w:rsidR="005B037E" w:rsidRDefault="005B037E" w:rsidP="007B00F0">
            <w:pPr>
              <w:spacing w:after="120"/>
              <w:ind w:firstLine="0"/>
            </w:pPr>
          </w:p>
        </w:tc>
      </w:tr>
      <w:tr w:rsidR="005B037E" w14:paraId="7C39C109" w14:textId="77777777" w:rsidTr="00271798">
        <w:tc>
          <w:tcPr>
            <w:tcW w:w="2472" w:type="dxa"/>
          </w:tcPr>
          <w:p w14:paraId="6EF6567A" w14:textId="6868BF16" w:rsidR="005B037E" w:rsidRPr="00BA135D" w:rsidRDefault="005B037E" w:rsidP="007B00F0">
            <w:pPr>
              <w:ind w:firstLine="0"/>
            </w:pPr>
            <w:r w:rsidRPr="00BA135D">
              <w:t xml:space="preserve">VP/General Counsel, Provost </w:t>
            </w:r>
          </w:p>
        </w:tc>
        <w:tc>
          <w:tcPr>
            <w:tcW w:w="947" w:type="dxa"/>
          </w:tcPr>
          <w:p w14:paraId="7B60792F" w14:textId="2B3727DA" w:rsidR="005B037E" w:rsidRDefault="005B037E" w:rsidP="007B00F0">
            <w:pPr>
              <w:spacing w:after="120"/>
              <w:ind w:firstLine="0"/>
            </w:pPr>
          </w:p>
        </w:tc>
        <w:tc>
          <w:tcPr>
            <w:tcW w:w="1058" w:type="dxa"/>
          </w:tcPr>
          <w:p w14:paraId="3F15EB72" w14:textId="7E009881" w:rsidR="005B037E" w:rsidRDefault="005B037E" w:rsidP="007B00F0">
            <w:pPr>
              <w:spacing w:after="120"/>
              <w:ind w:firstLine="0"/>
            </w:pPr>
          </w:p>
        </w:tc>
        <w:tc>
          <w:tcPr>
            <w:tcW w:w="1053" w:type="dxa"/>
          </w:tcPr>
          <w:p w14:paraId="46F6597E" w14:textId="77E7838C" w:rsidR="005B037E" w:rsidRDefault="005B037E" w:rsidP="007B00F0">
            <w:pPr>
              <w:spacing w:after="120"/>
              <w:ind w:firstLine="0"/>
            </w:pPr>
          </w:p>
        </w:tc>
        <w:tc>
          <w:tcPr>
            <w:tcW w:w="1186" w:type="dxa"/>
          </w:tcPr>
          <w:p w14:paraId="73D411E2" w14:textId="77777777" w:rsidR="005B037E" w:rsidRDefault="005B037E" w:rsidP="007B00F0">
            <w:pPr>
              <w:spacing w:after="120"/>
              <w:ind w:firstLine="0"/>
            </w:pPr>
            <w:r>
              <w:t>Y</w:t>
            </w:r>
          </w:p>
        </w:tc>
        <w:tc>
          <w:tcPr>
            <w:tcW w:w="1029" w:type="dxa"/>
          </w:tcPr>
          <w:p w14:paraId="29BF0683" w14:textId="77777777" w:rsidR="005B037E" w:rsidRDefault="005B037E" w:rsidP="007B00F0">
            <w:pPr>
              <w:spacing w:after="120"/>
              <w:ind w:firstLine="0"/>
            </w:pPr>
            <w:r>
              <w:t>Y</w:t>
            </w:r>
          </w:p>
        </w:tc>
        <w:tc>
          <w:tcPr>
            <w:tcW w:w="805" w:type="dxa"/>
          </w:tcPr>
          <w:p w14:paraId="2069895D" w14:textId="77777777" w:rsidR="005B037E" w:rsidRDefault="005B037E" w:rsidP="007B00F0">
            <w:pPr>
              <w:spacing w:after="120"/>
              <w:ind w:firstLine="0"/>
            </w:pPr>
            <w:r>
              <w:t>X</w:t>
            </w:r>
          </w:p>
        </w:tc>
        <w:tc>
          <w:tcPr>
            <w:tcW w:w="1075" w:type="dxa"/>
          </w:tcPr>
          <w:p w14:paraId="0BC769FD" w14:textId="77777777" w:rsidR="005B037E" w:rsidRDefault="005B037E" w:rsidP="007B00F0">
            <w:pPr>
              <w:spacing w:after="120"/>
              <w:ind w:firstLine="0"/>
            </w:pPr>
          </w:p>
        </w:tc>
      </w:tr>
      <w:tr w:rsidR="005B037E" w14:paraId="3A12F038" w14:textId="77777777" w:rsidTr="00271798">
        <w:tc>
          <w:tcPr>
            <w:tcW w:w="2472" w:type="dxa"/>
          </w:tcPr>
          <w:p w14:paraId="4EAF63F7" w14:textId="77777777" w:rsidR="005B037E" w:rsidRPr="00BA135D" w:rsidRDefault="005B037E" w:rsidP="007B00F0">
            <w:pPr>
              <w:ind w:firstLine="0"/>
            </w:pPr>
            <w:r w:rsidRPr="00BA135D">
              <w:t>President</w:t>
            </w:r>
          </w:p>
        </w:tc>
        <w:tc>
          <w:tcPr>
            <w:tcW w:w="947" w:type="dxa"/>
          </w:tcPr>
          <w:p w14:paraId="399AD193" w14:textId="07AE8747" w:rsidR="005B037E" w:rsidRDefault="005B037E" w:rsidP="007B00F0">
            <w:pPr>
              <w:spacing w:after="120"/>
              <w:ind w:firstLine="0"/>
            </w:pPr>
          </w:p>
        </w:tc>
        <w:tc>
          <w:tcPr>
            <w:tcW w:w="1058" w:type="dxa"/>
          </w:tcPr>
          <w:p w14:paraId="0366BBE3" w14:textId="4D88542F" w:rsidR="005B037E" w:rsidRDefault="005B037E" w:rsidP="007B00F0">
            <w:pPr>
              <w:spacing w:after="120"/>
              <w:ind w:firstLine="0"/>
            </w:pPr>
          </w:p>
        </w:tc>
        <w:tc>
          <w:tcPr>
            <w:tcW w:w="1053" w:type="dxa"/>
          </w:tcPr>
          <w:p w14:paraId="1742B1E2" w14:textId="02125B0E" w:rsidR="005B037E" w:rsidRDefault="005B037E" w:rsidP="007B00F0">
            <w:pPr>
              <w:spacing w:after="120"/>
              <w:ind w:firstLine="0"/>
            </w:pPr>
          </w:p>
        </w:tc>
        <w:tc>
          <w:tcPr>
            <w:tcW w:w="1186" w:type="dxa"/>
          </w:tcPr>
          <w:p w14:paraId="74AEEA57" w14:textId="153BE29C" w:rsidR="005B037E" w:rsidRDefault="005B037E" w:rsidP="007B00F0">
            <w:pPr>
              <w:spacing w:after="120"/>
              <w:ind w:firstLine="0"/>
            </w:pPr>
          </w:p>
        </w:tc>
        <w:tc>
          <w:tcPr>
            <w:tcW w:w="1029" w:type="dxa"/>
          </w:tcPr>
          <w:p w14:paraId="7560F121" w14:textId="357128D5" w:rsidR="005B037E" w:rsidRDefault="005B037E" w:rsidP="007B00F0">
            <w:pPr>
              <w:spacing w:after="120"/>
              <w:ind w:firstLine="0"/>
            </w:pPr>
          </w:p>
        </w:tc>
        <w:tc>
          <w:tcPr>
            <w:tcW w:w="805" w:type="dxa"/>
          </w:tcPr>
          <w:p w14:paraId="230F83FD" w14:textId="513839A9" w:rsidR="005B037E" w:rsidRDefault="005B037E" w:rsidP="007B00F0">
            <w:pPr>
              <w:spacing w:after="120"/>
              <w:ind w:firstLine="0"/>
            </w:pPr>
            <w:r>
              <w:t xml:space="preserve">Y </w:t>
            </w:r>
            <w:r w:rsidR="002D313B">
              <w:t>^</w:t>
            </w:r>
          </w:p>
        </w:tc>
        <w:tc>
          <w:tcPr>
            <w:tcW w:w="1075" w:type="dxa"/>
          </w:tcPr>
          <w:p w14:paraId="25474446" w14:textId="77777777" w:rsidR="005B037E" w:rsidRDefault="005B037E" w:rsidP="007B00F0">
            <w:pPr>
              <w:spacing w:after="120"/>
              <w:ind w:firstLine="0"/>
            </w:pPr>
            <w:r>
              <w:t>X</w:t>
            </w:r>
          </w:p>
        </w:tc>
      </w:tr>
      <w:tr w:rsidR="005B037E" w14:paraId="13DF75BF" w14:textId="77777777" w:rsidTr="00271798">
        <w:tc>
          <w:tcPr>
            <w:tcW w:w="2472" w:type="dxa"/>
          </w:tcPr>
          <w:p w14:paraId="0396766E" w14:textId="77777777" w:rsidR="005B037E" w:rsidRDefault="005B037E" w:rsidP="007B00F0">
            <w:pPr>
              <w:spacing w:after="120"/>
              <w:ind w:firstLine="0"/>
            </w:pPr>
            <w:r w:rsidRPr="0029590C">
              <w:t>Board of Governors</w:t>
            </w:r>
          </w:p>
        </w:tc>
        <w:tc>
          <w:tcPr>
            <w:tcW w:w="947" w:type="dxa"/>
          </w:tcPr>
          <w:p w14:paraId="3E4A0485" w14:textId="7508F0C4" w:rsidR="005B037E" w:rsidRDefault="005B037E" w:rsidP="007B00F0">
            <w:pPr>
              <w:spacing w:after="120"/>
              <w:ind w:firstLine="0"/>
            </w:pPr>
          </w:p>
        </w:tc>
        <w:tc>
          <w:tcPr>
            <w:tcW w:w="1058" w:type="dxa"/>
          </w:tcPr>
          <w:p w14:paraId="389C42C0" w14:textId="73099060" w:rsidR="005B037E" w:rsidRDefault="005B037E" w:rsidP="007B00F0">
            <w:pPr>
              <w:spacing w:after="120"/>
              <w:ind w:firstLine="0"/>
            </w:pPr>
          </w:p>
        </w:tc>
        <w:tc>
          <w:tcPr>
            <w:tcW w:w="1053" w:type="dxa"/>
          </w:tcPr>
          <w:p w14:paraId="5DB990D2" w14:textId="50F4B8C5" w:rsidR="005B037E" w:rsidRDefault="005B037E" w:rsidP="007B00F0">
            <w:pPr>
              <w:spacing w:after="120"/>
              <w:ind w:firstLine="0"/>
            </w:pPr>
          </w:p>
        </w:tc>
        <w:tc>
          <w:tcPr>
            <w:tcW w:w="1186" w:type="dxa"/>
          </w:tcPr>
          <w:p w14:paraId="32F5B6A9" w14:textId="57614E2F" w:rsidR="005B037E" w:rsidRDefault="005B037E" w:rsidP="007B00F0">
            <w:pPr>
              <w:spacing w:after="120"/>
              <w:ind w:firstLine="0"/>
            </w:pPr>
          </w:p>
        </w:tc>
        <w:tc>
          <w:tcPr>
            <w:tcW w:w="1029" w:type="dxa"/>
          </w:tcPr>
          <w:p w14:paraId="176D3A3A" w14:textId="4B013B23" w:rsidR="005B037E" w:rsidRDefault="005B037E" w:rsidP="007B00F0">
            <w:pPr>
              <w:spacing w:after="120"/>
              <w:ind w:firstLine="0"/>
            </w:pPr>
          </w:p>
        </w:tc>
        <w:tc>
          <w:tcPr>
            <w:tcW w:w="805" w:type="dxa"/>
          </w:tcPr>
          <w:p w14:paraId="545F8BD3" w14:textId="0946944C" w:rsidR="005B037E" w:rsidRDefault="005B037E" w:rsidP="007B00F0">
            <w:pPr>
              <w:spacing w:after="120"/>
              <w:ind w:firstLine="0"/>
            </w:pPr>
          </w:p>
        </w:tc>
        <w:tc>
          <w:tcPr>
            <w:tcW w:w="1075" w:type="dxa"/>
          </w:tcPr>
          <w:p w14:paraId="708405CD" w14:textId="77777777" w:rsidR="005B037E" w:rsidRDefault="005B037E" w:rsidP="007B00F0">
            <w:pPr>
              <w:spacing w:after="120"/>
              <w:ind w:firstLine="0"/>
            </w:pPr>
            <w:r>
              <w:t>Y</w:t>
            </w:r>
          </w:p>
        </w:tc>
      </w:tr>
    </w:tbl>
    <w:p w14:paraId="4C5BC5A9" w14:textId="60DAE2D6" w:rsidR="00345914" w:rsidRDefault="00345914">
      <w:pPr>
        <w:spacing w:after="120"/>
        <w:ind w:left="1440"/>
      </w:pPr>
      <w:r>
        <w:t>* = minimum authority for single signing</w:t>
      </w:r>
    </w:p>
    <w:p w14:paraId="7EB4E5FE" w14:textId="73B3CE45" w:rsidR="005B037E" w:rsidRDefault="005B037E" w:rsidP="00271798">
      <w:pPr>
        <w:spacing w:after="120"/>
        <w:ind w:left="1440"/>
      </w:pPr>
      <w:r>
        <w:t xml:space="preserve">X = </w:t>
      </w:r>
      <w:r w:rsidR="00345914">
        <w:t>minimum authority for F</w:t>
      </w:r>
      <w:r>
        <w:t xml:space="preserve">irst </w:t>
      </w:r>
      <w:r w:rsidR="00345914">
        <w:t>A</w:t>
      </w:r>
      <w:r>
        <w:t>pprover (one of)</w:t>
      </w:r>
    </w:p>
    <w:p w14:paraId="7CE837A8" w14:textId="53FD22C7" w:rsidR="005B037E" w:rsidRDefault="005B037E" w:rsidP="00271798">
      <w:pPr>
        <w:spacing w:after="120"/>
        <w:ind w:left="1440"/>
      </w:pPr>
      <w:r>
        <w:t xml:space="preserve">Y = </w:t>
      </w:r>
      <w:r w:rsidR="00345914">
        <w:t>minimum authority for S</w:t>
      </w:r>
      <w:r>
        <w:t xml:space="preserve">econd </w:t>
      </w:r>
      <w:r w:rsidR="00345914">
        <w:t>A</w:t>
      </w:r>
      <w:r>
        <w:t>pprover (one of)</w:t>
      </w:r>
    </w:p>
    <w:p w14:paraId="73AC27EE" w14:textId="312C13EC" w:rsidR="005B037E" w:rsidRDefault="002D313B" w:rsidP="00271798">
      <w:pPr>
        <w:spacing w:after="120"/>
        <w:ind w:left="1440"/>
      </w:pPr>
      <w:r>
        <w:t>^</w:t>
      </w:r>
      <w:r w:rsidR="005B037E">
        <w:t xml:space="preserve"> = the president’s approval will be reported to the Board of Governors</w:t>
      </w:r>
      <w:r w:rsidR="001F167F">
        <w:t xml:space="preserve"> quarterly</w:t>
      </w:r>
    </w:p>
    <w:p w14:paraId="2E447E59" w14:textId="77777777" w:rsidR="005B037E" w:rsidRDefault="005B037E" w:rsidP="00271798">
      <w:pPr>
        <w:pStyle w:val="ListParagraph"/>
        <w:spacing w:after="120"/>
        <w:ind w:firstLine="0"/>
        <w:contextualSpacing w:val="0"/>
        <w:rPr>
          <w:b/>
        </w:rPr>
      </w:pPr>
    </w:p>
    <w:p w14:paraId="6094CF5B" w14:textId="3AB4343B" w:rsidR="00B46218" w:rsidRPr="00B46218" w:rsidRDefault="00B46218" w:rsidP="005C656F">
      <w:pPr>
        <w:pStyle w:val="ListParagraph"/>
        <w:numPr>
          <w:ilvl w:val="0"/>
          <w:numId w:val="2"/>
        </w:numPr>
        <w:spacing w:after="120"/>
        <w:contextualSpacing w:val="0"/>
        <w:rPr>
          <w:b/>
        </w:rPr>
      </w:pPr>
      <w:r w:rsidRPr="00B46218">
        <w:rPr>
          <w:b/>
        </w:rPr>
        <w:t xml:space="preserve">Employment </w:t>
      </w:r>
    </w:p>
    <w:p w14:paraId="6EBFB2B4" w14:textId="2BF6F3CB" w:rsidR="00D43832" w:rsidRDefault="00D43832" w:rsidP="005C656F">
      <w:pPr>
        <w:pStyle w:val="ListParagraph"/>
        <w:numPr>
          <w:ilvl w:val="1"/>
          <w:numId w:val="2"/>
        </w:numPr>
        <w:spacing w:after="120"/>
        <w:contextualSpacing w:val="0"/>
      </w:pPr>
      <w:r w:rsidRPr="00D43832">
        <w:rPr>
          <w:b/>
        </w:rPr>
        <w:t>Collective agreement mandates</w:t>
      </w:r>
      <w:r w:rsidR="003667D1">
        <w:rPr>
          <w:b/>
        </w:rPr>
        <w:t xml:space="preserve"> </w:t>
      </w:r>
      <w:r w:rsidRPr="00D43832">
        <w:rPr>
          <w:b/>
        </w:rPr>
        <w:t>are</w:t>
      </w:r>
      <w:r>
        <w:t xml:space="preserve"> approved by the Governance, Nominations and Human Resources Committee of the Board</w:t>
      </w:r>
      <w:r w:rsidR="003667D1">
        <w:t xml:space="preserve"> in accordance with</w:t>
      </w:r>
      <w:r w:rsidR="00751643">
        <w:t xml:space="preserve"> the committee’s</w:t>
      </w:r>
      <w:r w:rsidR="003667D1">
        <w:t xml:space="preserve"> T</w:t>
      </w:r>
      <w:r w:rsidR="00751643">
        <w:t>erms of Reference</w:t>
      </w:r>
      <w:r>
        <w:t>.</w:t>
      </w:r>
    </w:p>
    <w:p w14:paraId="4C0A7024" w14:textId="1BF9DF99" w:rsidR="003A232C" w:rsidRDefault="003A232C" w:rsidP="005C656F">
      <w:pPr>
        <w:pStyle w:val="ListParagraph"/>
        <w:numPr>
          <w:ilvl w:val="1"/>
          <w:numId w:val="2"/>
        </w:numPr>
        <w:spacing w:after="120"/>
        <w:contextualSpacing w:val="0"/>
      </w:pPr>
      <w:r w:rsidRPr="00D43832">
        <w:rPr>
          <w:b/>
        </w:rPr>
        <w:t xml:space="preserve">Collective agreements </w:t>
      </w:r>
      <w:r>
        <w:t xml:space="preserve">are approved by the </w:t>
      </w:r>
      <w:r w:rsidR="006207F9">
        <w:t>University’s b</w:t>
      </w:r>
      <w:r w:rsidR="003667D1">
        <w:t xml:space="preserve">argaining </w:t>
      </w:r>
      <w:r w:rsidR="006207F9">
        <w:t>t</w:t>
      </w:r>
      <w:r w:rsidR="003667D1">
        <w:t xml:space="preserve">eam, as </w:t>
      </w:r>
      <w:r w:rsidR="006207F9">
        <w:t>delegated</w:t>
      </w:r>
      <w:r w:rsidR="003667D1">
        <w:t xml:space="preserve"> by GNHR</w:t>
      </w:r>
      <w:r w:rsidR="00404D32">
        <w:t xml:space="preserve"> in accordance with the committee’s Terms of Reference</w:t>
      </w:r>
      <w:r w:rsidR="006207F9">
        <w:t>.</w:t>
      </w:r>
    </w:p>
    <w:p w14:paraId="4695DB53" w14:textId="15DD1AA0" w:rsidR="003A232C" w:rsidRDefault="003A232C" w:rsidP="005C656F">
      <w:pPr>
        <w:pStyle w:val="ListParagraph"/>
        <w:numPr>
          <w:ilvl w:val="1"/>
          <w:numId w:val="2"/>
        </w:numPr>
        <w:spacing w:after="120"/>
        <w:contextualSpacing w:val="0"/>
      </w:pPr>
      <w:r w:rsidRPr="00D43832">
        <w:rPr>
          <w:b/>
        </w:rPr>
        <w:t>New positions</w:t>
      </w:r>
      <w:r w:rsidR="004408DC">
        <w:t xml:space="preserve"> </w:t>
      </w:r>
      <w:r>
        <w:t xml:space="preserve">that do not exist in the approved budget are approved by the </w:t>
      </w:r>
      <w:r w:rsidR="00404D32">
        <w:t>r</w:t>
      </w:r>
      <w:r>
        <w:t>elevant Vice-President (</w:t>
      </w:r>
      <w:r w:rsidR="006207F9">
        <w:t xml:space="preserve">First </w:t>
      </w:r>
      <w:r w:rsidR="00385938">
        <w:t>Approver</w:t>
      </w:r>
      <w:r>
        <w:t>)</w:t>
      </w:r>
      <w:r w:rsidR="00C6608E">
        <w:t xml:space="preserve">, </w:t>
      </w:r>
      <w:r w:rsidR="003667D1">
        <w:t>and S</w:t>
      </w:r>
      <w:r w:rsidR="006207F9">
        <w:t xml:space="preserve">enior </w:t>
      </w:r>
      <w:r w:rsidR="003667D1">
        <w:t>L</w:t>
      </w:r>
      <w:r w:rsidR="006207F9">
        <w:t xml:space="preserve">eadership </w:t>
      </w:r>
      <w:r w:rsidR="003667D1">
        <w:t>T</w:t>
      </w:r>
      <w:r w:rsidR="006207F9">
        <w:t>eam</w:t>
      </w:r>
      <w:r w:rsidR="003667D1">
        <w:t xml:space="preserve"> (</w:t>
      </w:r>
      <w:r w:rsidR="006207F9">
        <w:t>S</w:t>
      </w:r>
      <w:r w:rsidR="003667D1">
        <w:t>econd</w:t>
      </w:r>
      <w:r w:rsidR="006207F9">
        <w:t xml:space="preserve"> Approver</w:t>
      </w:r>
      <w:r w:rsidR="003667D1">
        <w:t xml:space="preserve">). </w:t>
      </w:r>
    </w:p>
    <w:p w14:paraId="2C4D9825" w14:textId="7933C8C8" w:rsidR="00B46218" w:rsidRDefault="00B46218" w:rsidP="005C656F">
      <w:pPr>
        <w:pStyle w:val="ListParagraph"/>
        <w:numPr>
          <w:ilvl w:val="1"/>
          <w:numId w:val="2"/>
        </w:numPr>
        <w:spacing w:after="120"/>
        <w:contextualSpacing w:val="0"/>
      </w:pPr>
      <w:r w:rsidRPr="00D43832">
        <w:rPr>
          <w:b/>
        </w:rPr>
        <w:t>President –</w:t>
      </w:r>
      <w:r>
        <w:t xml:space="preserve"> the hiring and related contracts of the President is approved by the </w:t>
      </w:r>
      <w:r w:rsidR="00C6608E">
        <w:t>Head of</w:t>
      </w:r>
      <w:r>
        <w:t xml:space="preserve"> Human Resources (</w:t>
      </w:r>
      <w:r w:rsidR="00385938">
        <w:t>First Approver</w:t>
      </w:r>
      <w:r>
        <w:t>) and the Chair of the Board of Governors (</w:t>
      </w:r>
      <w:r w:rsidR="00385938">
        <w:t>Second Approver</w:t>
      </w:r>
      <w:r>
        <w:t>).</w:t>
      </w:r>
    </w:p>
    <w:p w14:paraId="37D27F9C" w14:textId="4BB0D459" w:rsidR="00B46218" w:rsidRDefault="00B46218" w:rsidP="005C656F">
      <w:pPr>
        <w:pStyle w:val="ListParagraph"/>
        <w:numPr>
          <w:ilvl w:val="1"/>
          <w:numId w:val="2"/>
        </w:numPr>
        <w:spacing w:after="120"/>
        <w:contextualSpacing w:val="0"/>
      </w:pPr>
      <w:r w:rsidRPr="00D43832">
        <w:rPr>
          <w:b/>
        </w:rPr>
        <w:t>Senior Executive (e.g. V</w:t>
      </w:r>
      <w:r w:rsidR="006207F9">
        <w:rPr>
          <w:b/>
        </w:rPr>
        <w:t>ice-</w:t>
      </w:r>
      <w:r w:rsidRPr="00D43832">
        <w:rPr>
          <w:b/>
        </w:rPr>
        <w:t>P</w:t>
      </w:r>
      <w:r w:rsidR="006207F9">
        <w:rPr>
          <w:b/>
        </w:rPr>
        <w:t>resident</w:t>
      </w:r>
      <w:r w:rsidRPr="00D43832">
        <w:rPr>
          <w:b/>
        </w:rPr>
        <w:t>, Dean)</w:t>
      </w:r>
      <w:r>
        <w:t xml:space="preserve"> – the hiring and related contracts for senior executive is approved by the </w:t>
      </w:r>
      <w:r w:rsidR="00C6608E" w:rsidRPr="00271798">
        <w:t>Head of</w:t>
      </w:r>
      <w:r w:rsidRPr="00271798">
        <w:t xml:space="preserve"> Human Resources (</w:t>
      </w:r>
      <w:r w:rsidR="00385938" w:rsidRPr="00271798">
        <w:t>First Approver</w:t>
      </w:r>
      <w:r w:rsidRPr="00271798">
        <w:t>) and the President (</w:t>
      </w:r>
      <w:r w:rsidR="00385938" w:rsidRPr="00271798">
        <w:t>Second Approver</w:t>
      </w:r>
      <w:r w:rsidRPr="00271798">
        <w:t>).</w:t>
      </w:r>
      <w:r>
        <w:t xml:space="preserve"> </w:t>
      </w:r>
    </w:p>
    <w:p w14:paraId="60767DB6" w14:textId="5E5326DE" w:rsidR="00B46218" w:rsidRDefault="003A232C" w:rsidP="005C656F">
      <w:pPr>
        <w:pStyle w:val="ListParagraph"/>
        <w:numPr>
          <w:ilvl w:val="1"/>
          <w:numId w:val="2"/>
        </w:numPr>
        <w:spacing w:after="120"/>
        <w:contextualSpacing w:val="0"/>
      </w:pPr>
      <w:r w:rsidRPr="00D43832">
        <w:rPr>
          <w:b/>
        </w:rPr>
        <w:t xml:space="preserve">Limited term </w:t>
      </w:r>
      <w:r w:rsidR="004408DC">
        <w:rPr>
          <w:b/>
        </w:rPr>
        <w:t xml:space="preserve">Faculty Member </w:t>
      </w:r>
      <w:r w:rsidRPr="00D43832">
        <w:rPr>
          <w:b/>
        </w:rPr>
        <w:t xml:space="preserve">contract </w:t>
      </w:r>
      <w:r>
        <w:t>positions are approved by the Dean (</w:t>
      </w:r>
      <w:r w:rsidR="00385938">
        <w:t>First Approver</w:t>
      </w:r>
      <w:r>
        <w:t xml:space="preserve">) and the </w:t>
      </w:r>
      <w:r w:rsidR="00C6608E">
        <w:t xml:space="preserve">Provost and Vice-President Academic </w:t>
      </w:r>
      <w:r>
        <w:t>(</w:t>
      </w:r>
      <w:r w:rsidR="00385938">
        <w:t>Second Approver</w:t>
      </w:r>
      <w:r>
        <w:t xml:space="preserve">). </w:t>
      </w:r>
      <w:r w:rsidR="00D76B7F">
        <w:tab/>
      </w:r>
      <w:r w:rsidR="00D76B7F">
        <w:tab/>
      </w:r>
    </w:p>
    <w:p w14:paraId="6A533C51" w14:textId="39B57A38" w:rsidR="003A232C" w:rsidRDefault="003A232C" w:rsidP="005C656F">
      <w:pPr>
        <w:pStyle w:val="ListParagraph"/>
        <w:numPr>
          <w:ilvl w:val="1"/>
          <w:numId w:val="2"/>
        </w:numPr>
        <w:spacing w:after="120"/>
        <w:contextualSpacing w:val="0"/>
      </w:pPr>
      <w:r w:rsidRPr="00D43832">
        <w:rPr>
          <w:b/>
        </w:rPr>
        <w:t>All other existing positions</w:t>
      </w:r>
      <w:r>
        <w:t xml:space="preserve"> in the approved budget are approved by the </w:t>
      </w:r>
      <w:r w:rsidR="00D43832">
        <w:t>position’s</w:t>
      </w:r>
      <w:r>
        <w:t xml:space="preserve"> manager (</w:t>
      </w:r>
      <w:r w:rsidR="00385938">
        <w:t>First Approver</w:t>
      </w:r>
      <w:r>
        <w:t xml:space="preserve">) and </w:t>
      </w:r>
      <w:r w:rsidR="004408DC">
        <w:t xml:space="preserve">at minimum </w:t>
      </w:r>
      <w:r>
        <w:t>the one-over-one of the manager (</w:t>
      </w:r>
      <w:r w:rsidR="00385938">
        <w:t>Second Approver</w:t>
      </w:r>
      <w:r>
        <w:t>)</w:t>
      </w:r>
      <w:r w:rsidR="00C6608E">
        <w:t xml:space="preserve">, and appropriately reviewed by Human Resources prior to initiating </w:t>
      </w:r>
      <w:r w:rsidR="00130AAC">
        <w:t>the</w:t>
      </w:r>
      <w:r w:rsidR="00C6608E">
        <w:t xml:space="preserve"> recruitment process</w:t>
      </w:r>
      <w:r>
        <w:t>.</w:t>
      </w:r>
    </w:p>
    <w:p w14:paraId="3CC1885B" w14:textId="77777777" w:rsidR="00B46218" w:rsidRPr="0095445C" w:rsidRDefault="00B46218" w:rsidP="005C656F">
      <w:pPr>
        <w:pStyle w:val="ListParagraph"/>
        <w:numPr>
          <w:ilvl w:val="0"/>
          <w:numId w:val="2"/>
        </w:numPr>
        <w:spacing w:after="120"/>
        <w:contextualSpacing w:val="0"/>
        <w:rPr>
          <w:b/>
        </w:rPr>
      </w:pPr>
      <w:r w:rsidRPr="0095445C">
        <w:rPr>
          <w:b/>
        </w:rPr>
        <w:t>Academic</w:t>
      </w:r>
    </w:p>
    <w:p w14:paraId="0AA5B44A" w14:textId="2A852122" w:rsidR="004F70E6" w:rsidRDefault="00B46218" w:rsidP="005C656F">
      <w:pPr>
        <w:pStyle w:val="ListParagraph"/>
        <w:numPr>
          <w:ilvl w:val="1"/>
          <w:numId w:val="2"/>
        </w:numPr>
        <w:spacing w:after="120"/>
        <w:contextualSpacing w:val="0"/>
      </w:pPr>
      <w:r w:rsidRPr="00D43832">
        <w:rPr>
          <w:b/>
        </w:rPr>
        <w:lastRenderedPageBreak/>
        <w:t xml:space="preserve">Articulation agreements, educational partnerships and </w:t>
      </w:r>
      <w:r w:rsidR="00D43832">
        <w:rPr>
          <w:b/>
        </w:rPr>
        <w:t>i</w:t>
      </w:r>
      <w:r w:rsidRPr="00D43832">
        <w:rPr>
          <w:b/>
        </w:rPr>
        <w:t>nternational agreements</w:t>
      </w:r>
      <w:r>
        <w:t xml:space="preserve"> are approved by the </w:t>
      </w:r>
      <w:r w:rsidR="009759AD">
        <w:t xml:space="preserve">Dean </w:t>
      </w:r>
      <w:r>
        <w:t>(</w:t>
      </w:r>
      <w:r w:rsidR="00385938">
        <w:t>First Approver</w:t>
      </w:r>
      <w:r>
        <w:t xml:space="preserve">) and the </w:t>
      </w:r>
      <w:r w:rsidR="009759AD">
        <w:t>Provost</w:t>
      </w:r>
      <w:r w:rsidR="00286222">
        <w:t>,</w:t>
      </w:r>
      <w:r w:rsidR="009759AD">
        <w:t xml:space="preserve"> or VP Research and Innovation</w:t>
      </w:r>
      <w:r w:rsidR="00907481">
        <w:t>,</w:t>
      </w:r>
      <w:r w:rsidR="009759AD">
        <w:t xml:space="preserve"> for international agreements </w:t>
      </w:r>
      <w:r>
        <w:t>(</w:t>
      </w:r>
      <w:r w:rsidR="00385938">
        <w:t>Second Approver</w:t>
      </w:r>
      <w:r>
        <w:t xml:space="preserve">).   </w:t>
      </w:r>
    </w:p>
    <w:p w14:paraId="5054CDFF" w14:textId="4DE19DA4" w:rsidR="00D73CDA" w:rsidRDefault="00F80985" w:rsidP="005C656F">
      <w:pPr>
        <w:pStyle w:val="ListParagraph"/>
        <w:numPr>
          <w:ilvl w:val="1"/>
          <w:numId w:val="2"/>
        </w:numPr>
        <w:spacing w:after="120"/>
        <w:contextualSpacing w:val="0"/>
      </w:pPr>
      <w:r>
        <w:rPr>
          <w:b/>
        </w:rPr>
        <w:t>Inter-institutional research collaboration agreements</w:t>
      </w:r>
      <w:r w:rsidR="00D73CDA">
        <w:t xml:space="preserve"> are approved by the Executive Director, Office of Research Services (First Approver) and the VP Research and Innovation (Second Approver).</w:t>
      </w:r>
    </w:p>
    <w:p w14:paraId="7BE6CC7E" w14:textId="3706FC13" w:rsidR="004F70E6" w:rsidRDefault="00D43832" w:rsidP="005C656F">
      <w:pPr>
        <w:pStyle w:val="ListParagraph"/>
        <w:numPr>
          <w:ilvl w:val="1"/>
          <w:numId w:val="2"/>
        </w:numPr>
        <w:spacing w:after="120"/>
        <w:contextualSpacing w:val="0"/>
      </w:pPr>
      <w:r w:rsidRPr="00D43832">
        <w:rPr>
          <w:b/>
        </w:rPr>
        <w:t>I</w:t>
      </w:r>
      <w:r w:rsidR="00B46218" w:rsidRPr="00D43832">
        <w:rPr>
          <w:b/>
        </w:rPr>
        <w:t>nter-institutional collaboration</w:t>
      </w:r>
      <w:r w:rsidR="00DA4311">
        <w:rPr>
          <w:b/>
        </w:rPr>
        <w:t xml:space="preserve"> agreements</w:t>
      </w:r>
      <w:r w:rsidR="00B46218" w:rsidRPr="00D43832">
        <w:rPr>
          <w:b/>
        </w:rPr>
        <w:t>,</w:t>
      </w:r>
      <w:r w:rsidR="006207F9">
        <w:rPr>
          <w:b/>
        </w:rPr>
        <w:t xml:space="preserve"> including work-integrated learning</w:t>
      </w:r>
      <w:r w:rsidR="00B46218" w:rsidRPr="00D43832">
        <w:rPr>
          <w:b/>
        </w:rPr>
        <w:t xml:space="preserve"> </w:t>
      </w:r>
      <w:r w:rsidR="006207F9">
        <w:rPr>
          <w:b/>
        </w:rPr>
        <w:t>(</w:t>
      </w:r>
      <w:r w:rsidR="004F70E6" w:rsidRPr="00D43832">
        <w:rPr>
          <w:b/>
        </w:rPr>
        <w:t>co-op, internships,</w:t>
      </w:r>
      <w:r w:rsidR="006207F9">
        <w:rPr>
          <w:b/>
        </w:rPr>
        <w:t xml:space="preserve"> practicum,</w:t>
      </w:r>
      <w:r w:rsidR="004F70E6" w:rsidRPr="00D43832">
        <w:rPr>
          <w:b/>
        </w:rPr>
        <w:t xml:space="preserve"> service learning</w:t>
      </w:r>
      <w:r w:rsidR="00B1047A">
        <w:rPr>
          <w:b/>
        </w:rPr>
        <w:t>)</w:t>
      </w:r>
      <w:r w:rsidR="004F70E6">
        <w:t xml:space="preserve"> are approved by the Dean </w:t>
      </w:r>
      <w:r w:rsidR="008B3960">
        <w:t>(F</w:t>
      </w:r>
      <w:r w:rsidR="00385938">
        <w:t>irst</w:t>
      </w:r>
      <w:r w:rsidR="004F70E6">
        <w:t xml:space="preserve"> </w:t>
      </w:r>
      <w:r w:rsidR="008B3960">
        <w:t>Approver</w:t>
      </w:r>
      <w:r w:rsidR="004F70E6">
        <w:t>) and the Provost (</w:t>
      </w:r>
      <w:r w:rsidR="00385938">
        <w:t>Second Approver</w:t>
      </w:r>
      <w:r w:rsidR="004F70E6">
        <w:t>).</w:t>
      </w:r>
    </w:p>
    <w:p w14:paraId="717DA71C" w14:textId="35E230E3" w:rsidR="00B46218" w:rsidRDefault="004F70E6" w:rsidP="005C656F">
      <w:pPr>
        <w:pStyle w:val="ListParagraph"/>
        <w:numPr>
          <w:ilvl w:val="1"/>
          <w:numId w:val="2"/>
        </w:numPr>
        <w:spacing w:after="120"/>
        <w:contextualSpacing w:val="0"/>
      </w:pPr>
      <w:r w:rsidRPr="00D43832">
        <w:rPr>
          <w:b/>
        </w:rPr>
        <w:t>N</w:t>
      </w:r>
      <w:r w:rsidR="00B46218" w:rsidRPr="00D43832">
        <w:rPr>
          <w:b/>
        </w:rPr>
        <w:t xml:space="preserve">on-degree programs </w:t>
      </w:r>
      <w:r w:rsidRPr="00D43832">
        <w:rPr>
          <w:b/>
        </w:rPr>
        <w:t xml:space="preserve">or courses </w:t>
      </w:r>
      <w:r w:rsidR="00B46218">
        <w:t xml:space="preserve">are approved </w:t>
      </w:r>
      <w:r w:rsidR="009759AD">
        <w:t>in accordance with the applicable policy</w:t>
      </w:r>
      <w:r w:rsidR="00DA4311">
        <w:t>.</w:t>
      </w:r>
    </w:p>
    <w:p w14:paraId="7E0483FC" w14:textId="417A4B15" w:rsidR="004F70E6" w:rsidRDefault="004F70E6" w:rsidP="005C656F">
      <w:pPr>
        <w:pStyle w:val="ListParagraph"/>
        <w:numPr>
          <w:ilvl w:val="1"/>
          <w:numId w:val="2"/>
        </w:numPr>
        <w:spacing w:after="120"/>
        <w:contextualSpacing w:val="0"/>
      </w:pPr>
      <w:r w:rsidRPr="00D43832">
        <w:rPr>
          <w:b/>
        </w:rPr>
        <w:t xml:space="preserve">Mobility Exchanges </w:t>
      </w:r>
      <w:r w:rsidR="00D43832" w:rsidRPr="00D43832">
        <w:t>are approved by</w:t>
      </w:r>
      <w:r w:rsidR="00D43832">
        <w:t xml:space="preserve"> </w:t>
      </w:r>
      <w:r w:rsidR="00907481">
        <w:t xml:space="preserve">the </w:t>
      </w:r>
      <w:r>
        <w:t>Dean</w:t>
      </w:r>
      <w:r w:rsidR="00B1047A">
        <w:t xml:space="preserve"> for </w:t>
      </w:r>
      <w:r w:rsidR="00CA0850">
        <w:t>Faculty</w:t>
      </w:r>
      <w:r w:rsidR="00B1047A">
        <w:t xml:space="preserve">-specific agreements, or </w:t>
      </w:r>
      <w:r>
        <w:t>Deputy Provost</w:t>
      </w:r>
      <w:r w:rsidR="00B1047A">
        <w:t xml:space="preserve"> for university-wide agreements</w:t>
      </w:r>
      <w:r>
        <w:t xml:space="preserve"> (</w:t>
      </w:r>
      <w:r w:rsidR="00385938">
        <w:t>First Approver</w:t>
      </w:r>
      <w:r>
        <w:t>)</w:t>
      </w:r>
      <w:r w:rsidR="00D43832">
        <w:t xml:space="preserve"> and</w:t>
      </w:r>
      <w:r>
        <w:t xml:space="preserve"> Provost (</w:t>
      </w:r>
      <w:r w:rsidR="00385938">
        <w:t>Second Approver</w:t>
      </w:r>
      <w:r>
        <w:t>).</w:t>
      </w:r>
    </w:p>
    <w:p w14:paraId="0CEBBD2A" w14:textId="10027F4A" w:rsidR="004F70E6" w:rsidRDefault="004F70E6" w:rsidP="005C656F">
      <w:pPr>
        <w:pStyle w:val="ListParagraph"/>
        <w:numPr>
          <w:ilvl w:val="1"/>
          <w:numId w:val="2"/>
        </w:numPr>
        <w:spacing w:after="120"/>
        <w:contextualSpacing w:val="0"/>
      </w:pPr>
      <w:r w:rsidRPr="00D43832">
        <w:rPr>
          <w:b/>
        </w:rPr>
        <w:t>Course Capstone</w:t>
      </w:r>
      <w:r w:rsidR="00B1047A">
        <w:rPr>
          <w:b/>
        </w:rPr>
        <w:t>s</w:t>
      </w:r>
      <w:r w:rsidR="00D43832">
        <w:t xml:space="preserve"> are approved by</w:t>
      </w:r>
      <w:r w:rsidR="00BC3A25">
        <w:t xml:space="preserve"> the</w:t>
      </w:r>
      <w:r>
        <w:t xml:space="preserve"> Manager/Director</w:t>
      </w:r>
      <w:r w:rsidR="00D43832">
        <w:t xml:space="preserve"> (</w:t>
      </w:r>
      <w:r w:rsidR="00385938">
        <w:t>First Approver</w:t>
      </w:r>
      <w:r w:rsidR="00D43832">
        <w:t xml:space="preserve">) and </w:t>
      </w:r>
      <w:r>
        <w:t>Dean</w:t>
      </w:r>
      <w:r w:rsidR="00D43832">
        <w:t xml:space="preserve"> (</w:t>
      </w:r>
      <w:r w:rsidR="00385938">
        <w:t>Second Approver</w:t>
      </w:r>
      <w:r w:rsidR="00D43832">
        <w:t>)</w:t>
      </w:r>
      <w:r>
        <w:t>.</w:t>
      </w:r>
    </w:p>
    <w:p w14:paraId="7C80CEC3" w14:textId="7DA9CB39" w:rsidR="00B46218" w:rsidRPr="0095445C" w:rsidRDefault="00B46218" w:rsidP="005C656F">
      <w:pPr>
        <w:pStyle w:val="ListParagraph"/>
        <w:numPr>
          <w:ilvl w:val="0"/>
          <w:numId w:val="2"/>
        </w:numPr>
        <w:spacing w:after="120"/>
        <w:contextualSpacing w:val="0"/>
        <w:rPr>
          <w:b/>
        </w:rPr>
      </w:pPr>
      <w:r w:rsidRPr="0095445C">
        <w:rPr>
          <w:b/>
        </w:rPr>
        <w:t xml:space="preserve">Legal and Privacy </w:t>
      </w:r>
    </w:p>
    <w:p w14:paraId="74CC9190" w14:textId="0A8A0543" w:rsidR="00385938" w:rsidRPr="00EC763C" w:rsidRDefault="00385938" w:rsidP="00385938">
      <w:pPr>
        <w:pStyle w:val="ListParagraph"/>
        <w:numPr>
          <w:ilvl w:val="1"/>
          <w:numId w:val="2"/>
        </w:numPr>
        <w:spacing w:after="120"/>
        <w:contextualSpacing w:val="0"/>
      </w:pPr>
      <w:r>
        <w:rPr>
          <w:b/>
        </w:rPr>
        <w:t>Settlement Agreements</w:t>
      </w:r>
      <w:r w:rsidRPr="00385938">
        <w:t xml:space="preserve"> </w:t>
      </w:r>
      <w:r w:rsidR="00751643">
        <w:t>will be reviewed by</w:t>
      </w:r>
      <w:r w:rsidRPr="00385938">
        <w:t xml:space="preserve"> General Counsel, or delegate before approval. </w:t>
      </w:r>
      <w:r w:rsidRPr="00EC763C">
        <w:t xml:space="preserve">Where the review of the Settlement Agreement indicates that the agreement presents a substantial risk </w:t>
      </w:r>
      <w:r w:rsidRPr="00C6608E">
        <w:t xml:space="preserve">to the University that cannot be mitigated through revision or negotiation, additional approval will be required from the </w:t>
      </w:r>
      <w:r w:rsidRPr="00271798">
        <w:t>President or Board of Governors</w:t>
      </w:r>
      <w:r w:rsidRPr="00C6608E">
        <w:t>.</w:t>
      </w:r>
    </w:p>
    <w:p w14:paraId="7488F6C3" w14:textId="22012E2F" w:rsidR="00B46218" w:rsidRDefault="00B46218" w:rsidP="007B00F0">
      <w:pPr>
        <w:pStyle w:val="ListParagraph"/>
        <w:numPr>
          <w:ilvl w:val="2"/>
          <w:numId w:val="2"/>
        </w:numPr>
        <w:spacing w:after="120"/>
        <w:contextualSpacing w:val="0"/>
      </w:pPr>
      <w:r>
        <w:t xml:space="preserve">The </w:t>
      </w:r>
      <w:r w:rsidR="00385938">
        <w:t>First Approver</w:t>
      </w:r>
      <w:r>
        <w:t xml:space="preserve"> for any </w:t>
      </w:r>
      <w:r w:rsidR="00385938">
        <w:t>S</w:t>
      </w:r>
      <w:r>
        <w:t xml:space="preserve">ettlement </w:t>
      </w:r>
      <w:r w:rsidR="00385938">
        <w:t xml:space="preserve">Agreement </w:t>
      </w:r>
      <w:r>
        <w:t xml:space="preserve">is determined based on the threshold </w:t>
      </w:r>
      <w:r w:rsidR="00D43832">
        <w:t>set out in</w:t>
      </w:r>
      <w:r>
        <w:t xml:space="preserve"> </w:t>
      </w:r>
      <w:r w:rsidR="00D43832">
        <w:t>the Expenditure authority procedure</w:t>
      </w:r>
      <w:r>
        <w:t xml:space="preserve">.  The </w:t>
      </w:r>
      <w:r w:rsidR="00385938">
        <w:t>Second Approver</w:t>
      </w:r>
      <w:r>
        <w:t xml:space="preserve"> is the General Counsel</w:t>
      </w:r>
      <w:r w:rsidR="00D43832">
        <w:t xml:space="preserve">, up to a value of </w:t>
      </w:r>
      <w:r w:rsidR="00760D63">
        <w:t>$2M</w:t>
      </w:r>
      <w:r>
        <w:t xml:space="preserve">. </w:t>
      </w:r>
    </w:p>
    <w:p w14:paraId="7758B43A" w14:textId="4719AC38" w:rsidR="00D43832" w:rsidRDefault="00385938" w:rsidP="00385938">
      <w:pPr>
        <w:pStyle w:val="ListParagraph"/>
        <w:numPr>
          <w:ilvl w:val="2"/>
          <w:numId w:val="2"/>
        </w:numPr>
        <w:spacing w:after="120"/>
        <w:contextualSpacing w:val="0"/>
      </w:pPr>
      <w:r>
        <w:t>Settlement Agreements</w:t>
      </w:r>
      <w:r w:rsidR="00D43832">
        <w:t xml:space="preserve"> of $</w:t>
      </w:r>
      <w:r w:rsidR="00760D63">
        <w:t xml:space="preserve">2M </w:t>
      </w:r>
      <w:r w:rsidR="00D43832">
        <w:t>to $</w:t>
      </w:r>
      <w:r w:rsidR="00760D63">
        <w:t xml:space="preserve">4M </w:t>
      </w:r>
      <w:r w:rsidR="00D43832">
        <w:t>will be approved by the General Counsel (</w:t>
      </w:r>
      <w:r>
        <w:t>First Approver</w:t>
      </w:r>
      <w:r w:rsidR="00D43832">
        <w:t>) and President (</w:t>
      </w:r>
      <w:r>
        <w:t>Second Approver</w:t>
      </w:r>
      <w:r w:rsidR="00D43832">
        <w:t>)</w:t>
      </w:r>
      <w:r w:rsidR="00751643">
        <w:t>.</w:t>
      </w:r>
    </w:p>
    <w:p w14:paraId="311CA331" w14:textId="3EF0A880" w:rsidR="00D43832" w:rsidRDefault="00385938" w:rsidP="00385938">
      <w:pPr>
        <w:pStyle w:val="ListParagraph"/>
        <w:numPr>
          <w:ilvl w:val="2"/>
          <w:numId w:val="2"/>
        </w:numPr>
        <w:spacing w:after="120"/>
        <w:contextualSpacing w:val="0"/>
      </w:pPr>
      <w:r>
        <w:t>Settlement Agreements</w:t>
      </w:r>
      <w:r w:rsidR="00D43832">
        <w:t xml:space="preserve"> of $</w:t>
      </w:r>
      <w:r w:rsidR="00760D63">
        <w:t xml:space="preserve">4M </w:t>
      </w:r>
      <w:r w:rsidR="00D43832">
        <w:t>or greater will be approved by the General Counsel, in consultation with the President (</w:t>
      </w:r>
      <w:r>
        <w:t>First Approver</w:t>
      </w:r>
      <w:r w:rsidR="00D43832">
        <w:t>) and the chair of the Board of Governors (</w:t>
      </w:r>
      <w:r>
        <w:t>Second Approver</w:t>
      </w:r>
      <w:r w:rsidR="00D43832">
        <w:t>)</w:t>
      </w:r>
    </w:p>
    <w:p w14:paraId="456F94A5" w14:textId="2572D095" w:rsidR="00B46218" w:rsidRDefault="00B46218" w:rsidP="005C656F">
      <w:pPr>
        <w:pStyle w:val="ListParagraph"/>
        <w:numPr>
          <w:ilvl w:val="1"/>
          <w:numId w:val="2"/>
        </w:numPr>
        <w:spacing w:after="120"/>
        <w:contextualSpacing w:val="0"/>
      </w:pPr>
      <w:r>
        <w:t xml:space="preserve">The authority for the release of any confidential records, documents or information rests with the </w:t>
      </w:r>
      <w:r w:rsidR="0095445C">
        <w:t>Chief Privacy Officer</w:t>
      </w:r>
      <w:r w:rsidR="002B15A8">
        <w:t>,</w:t>
      </w:r>
      <w:r w:rsidR="00751643">
        <w:t xml:space="preserve"> or delegate</w:t>
      </w:r>
      <w:r w:rsidR="00B1047A">
        <w:t>,</w:t>
      </w:r>
      <w:r w:rsidR="002B15A8">
        <w:t xml:space="preserve"> in accordance with the</w:t>
      </w:r>
      <w:r w:rsidR="00B1047A">
        <w:t xml:space="preserve"> </w:t>
      </w:r>
      <w:r w:rsidR="00BC3A25">
        <w:t xml:space="preserve">University’s </w:t>
      </w:r>
      <w:r w:rsidR="0075669A">
        <w:t xml:space="preserve">Access to Information and </w:t>
      </w:r>
      <w:r w:rsidR="002B15A8">
        <w:t>Privacy Policy</w:t>
      </w:r>
      <w:r>
        <w:t xml:space="preserve">.  </w:t>
      </w:r>
    </w:p>
    <w:p w14:paraId="64A656E1" w14:textId="6478D899" w:rsidR="00B46218" w:rsidRPr="0095445C" w:rsidRDefault="000F46D4" w:rsidP="005C656F">
      <w:pPr>
        <w:pStyle w:val="ListParagraph"/>
        <w:numPr>
          <w:ilvl w:val="0"/>
          <w:numId w:val="2"/>
        </w:numPr>
        <w:spacing w:after="120"/>
        <w:contextualSpacing w:val="0"/>
        <w:rPr>
          <w:b/>
        </w:rPr>
      </w:pPr>
      <w:r>
        <w:rPr>
          <w:b/>
        </w:rPr>
        <w:t>Intellectual Property</w:t>
      </w:r>
    </w:p>
    <w:p w14:paraId="5C5FE6E1" w14:textId="44C0EEEB" w:rsidR="00B46218" w:rsidRDefault="00760D63" w:rsidP="005C656F">
      <w:pPr>
        <w:pStyle w:val="ListParagraph"/>
        <w:numPr>
          <w:ilvl w:val="1"/>
          <w:numId w:val="2"/>
        </w:numPr>
        <w:spacing w:after="120"/>
        <w:contextualSpacing w:val="0"/>
      </w:pPr>
      <w:r w:rsidRPr="00AF4FD7">
        <w:rPr>
          <w:b/>
        </w:rPr>
        <w:t>Standalone teaching and learning intellectual property</w:t>
      </w:r>
      <w:r w:rsidRPr="00760D63">
        <w:t xml:space="preserve"> agreements </w:t>
      </w:r>
      <w:r>
        <w:t xml:space="preserve">will be approved by the </w:t>
      </w:r>
      <w:r w:rsidR="00B46218">
        <w:t>Dean</w:t>
      </w:r>
      <w:r w:rsidR="00F04EB5">
        <w:t>,</w:t>
      </w:r>
      <w:r w:rsidR="00B46218">
        <w:t xml:space="preserve"> or Director (for non-academic agreements)</w:t>
      </w:r>
      <w:r>
        <w:t xml:space="preserve"> (First Approver) and the </w:t>
      </w:r>
      <w:r w:rsidR="00B46218">
        <w:t xml:space="preserve">Provost </w:t>
      </w:r>
      <w:r>
        <w:t>(</w:t>
      </w:r>
      <w:r w:rsidR="00385938">
        <w:t>Second Approver</w:t>
      </w:r>
      <w:r>
        <w:t>)</w:t>
      </w:r>
      <w:r w:rsidR="00B46218">
        <w:t xml:space="preserve">. </w:t>
      </w:r>
    </w:p>
    <w:p w14:paraId="04EC639E" w14:textId="68161225" w:rsidR="002B15A8" w:rsidRDefault="00751643" w:rsidP="002B15A8">
      <w:pPr>
        <w:pStyle w:val="ListParagraph"/>
        <w:numPr>
          <w:ilvl w:val="1"/>
          <w:numId w:val="2"/>
        </w:numPr>
        <w:spacing w:after="120"/>
        <w:contextualSpacing w:val="0"/>
      </w:pPr>
      <w:r>
        <w:t xml:space="preserve">Agreements that involve </w:t>
      </w:r>
      <w:r w:rsidR="00B1047A">
        <w:t xml:space="preserve">granting a license to </w:t>
      </w:r>
      <w:r w:rsidR="002B15A8" w:rsidRPr="00263328">
        <w:rPr>
          <w:b/>
        </w:rPr>
        <w:t>University</w:t>
      </w:r>
      <w:r>
        <w:rPr>
          <w:b/>
        </w:rPr>
        <w:t>-owned intellectual property</w:t>
      </w:r>
      <w:r w:rsidR="00B1047A">
        <w:t xml:space="preserve"> will be approved by the </w:t>
      </w:r>
      <w:r w:rsidR="002205DE">
        <w:t>Dean, or Director (for non-academic agreements)</w:t>
      </w:r>
      <w:r w:rsidR="00B1047A">
        <w:t xml:space="preserve"> (First Approver)</w:t>
      </w:r>
      <w:r w:rsidR="00907481">
        <w:t xml:space="preserve"> and the</w:t>
      </w:r>
      <w:r w:rsidR="00B1047A">
        <w:t xml:space="preserve"> </w:t>
      </w:r>
      <w:r w:rsidR="002205DE">
        <w:t>responsible Vice-President</w:t>
      </w:r>
      <w:r w:rsidR="00B1047A">
        <w:t xml:space="preserve"> (Second Approver).</w:t>
      </w:r>
    </w:p>
    <w:p w14:paraId="79DE7CC2" w14:textId="75E63FB7" w:rsidR="00751643" w:rsidRDefault="00751643" w:rsidP="002B15A8">
      <w:pPr>
        <w:pStyle w:val="ListParagraph"/>
        <w:numPr>
          <w:ilvl w:val="1"/>
          <w:numId w:val="2"/>
        </w:numPr>
        <w:spacing w:after="120"/>
        <w:contextualSpacing w:val="0"/>
      </w:pPr>
      <w:r>
        <w:lastRenderedPageBreak/>
        <w:t>Agreements that involve</w:t>
      </w:r>
      <w:r w:rsidR="003C0E8E">
        <w:t xml:space="preserve"> the University</w:t>
      </w:r>
      <w:r>
        <w:t xml:space="preserve"> licensing </w:t>
      </w:r>
      <w:r w:rsidRPr="00263328">
        <w:rPr>
          <w:b/>
        </w:rPr>
        <w:t xml:space="preserve">commercially available </w:t>
      </w:r>
      <w:r>
        <w:rPr>
          <w:b/>
        </w:rPr>
        <w:t>i</w:t>
      </w:r>
      <w:r w:rsidRPr="00263328">
        <w:rPr>
          <w:b/>
        </w:rPr>
        <w:t xml:space="preserve">ntellectual </w:t>
      </w:r>
      <w:r>
        <w:rPr>
          <w:b/>
        </w:rPr>
        <w:t>p</w:t>
      </w:r>
      <w:r w:rsidRPr="00263328">
        <w:rPr>
          <w:b/>
        </w:rPr>
        <w:t>roperty</w:t>
      </w:r>
      <w:r w:rsidR="00B1047A">
        <w:t xml:space="preserve"> </w:t>
      </w:r>
      <w:bookmarkStart w:id="1" w:name="_Hlk61423752"/>
      <w:r w:rsidR="00B1047A">
        <w:t xml:space="preserve">will be </w:t>
      </w:r>
      <w:r w:rsidR="002205DE">
        <w:t xml:space="preserve">governed by the </w:t>
      </w:r>
      <w:r w:rsidR="00907481">
        <w:t xml:space="preserve">Financial Contracts </w:t>
      </w:r>
      <w:r w:rsidR="002205DE">
        <w:t>Signing Authority Procedures</w:t>
      </w:r>
      <w:r w:rsidR="00B1047A">
        <w:t>.</w:t>
      </w:r>
      <w:bookmarkEnd w:id="1"/>
    </w:p>
    <w:p w14:paraId="7BEC5957" w14:textId="54AF54CB" w:rsidR="00B1047A" w:rsidRDefault="00B1047A" w:rsidP="002B15A8">
      <w:pPr>
        <w:pStyle w:val="ListParagraph"/>
        <w:numPr>
          <w:ilvl w:val="1"/>
          <w:numId w:val="2"/>
        </w:numPr>
        <w:spacing w:after="120"/>
        <w:contextualSpacing w:val="0"/>
      </w:pPr>
      <w:r>
        <w:t>Agreements that grant rights</w:t>
      </w:r>
      <w:r w:rsidR="003C0E8E">
        <w:t xml:space="preserve"> to the University to use </w:t>
      </w:r>
      <w:r w:rsidRPr="00263328">
        <w:rPr>
          <w:b/>
        </w:rPr>
        <w:t>intellectual property that is not commercially available</w:t>
      </w:r>
      <w:r w:rsidRPr="00B1047A">
        <w:t xml:space="preserve"> </w:t>
      </w:r>
      <w:r>
        <w:t xml:space="preserve">will be approved by the </w:t>
      </w:r>
      <w:r w:rsidR="002205DE" w:rsidRPr="002205DE">
        <w:t xml:space="preserve">Dean, or Director (for non-academic agreements) (First Approver) </w:t>
      </w:r>
      <w:r w:rsidR="00907481">
        <w:t xml:space="preserve">and the </w:t>
      </w:r>
      <w:r w:rsidR="002205DE" w:rsidRPr="002205DE">
        <w:t>responsible Vice-President (Second Approver)</w:t>
      </w:r>
      <w:r>
        <w:t>.</w:t>
      </w:r>
    </w:p>
    <w:p w14:paraId="4D96BCFC" w14:textId="496B9545" w:rsidR="00B1047A" w:rsidRDefault="00B1047A" w:rsidP="00B1047A">
      <w:pPr>
        <w:pStyle w:val="ListParagraph"/>
        <w:numPr>
          <w:ilvl w:val="1"/>
          <w:numId w:val="2"/>
        </w:numPr>
        <w:spacing w:after="120"/>
        <w:contextualSpacing w:val="0"/>
      </w:pPr>
      <w:r w:rsidRPr="00263328">
        <w:rPr>
          <w:b/>
        </w:rPr>
        <w:t>Sponsored research funding or research partnership</w:t>
      </w:r>
      <w:r>
        <w:t xml:space="preserve"> agreements that include clauses that grant</w:t>
      </w:r>
      <w:r w:rsidR="009759AD">
        <w:t xml:space="preserve"> non-standard</w:t>
      </w:r>
      <w:r>
        <w:t xml:space="preserve"> intellectual property rights</w:t>
      </w:r>
      <w:r w:rsidR="009759AD">
        <w:t xml:space="preserve"> will be approved by the Vice-President Responsible for Research.</w:t>
      </w:r>
    </w:p>
    <w:p w14:paraId="631002C4" w14:textId="389A7CB9" w:rsidR="00F04EB5" w:rsidRDefault="00F04EB5" w:rsidP="00A02F03">
      <w:pPr>
        <w:pStyle w:val="ListParagraph"/>
        <w:numPr>
          <w:ilvl w:val="1"/>
          <w:numId w:val="2"/>
        </w:numPr>
        <w:spacing w:after="120"/>
        <w:contextualSpacing w:val="0"/>
      </w:pPr>
      <w:r>
        <w:t>Agreements that contain a grant of rights to use University Brand elements will be approved by the</w:t>
      </w:r>
      <w:r w:rsidR="002205DE">
        <w:t xml:space="preserve"> Dean, or</w:t>
      </w:r>
      <w:r>
        <w:t xml:space="preserve"> </w:t>
      </w:r>
      <w:r w:rsidR="002205DE">
        <w:t>Manager/Director (for non-academic agreements)</w:t>
      </w:r>
      <w:r>
        <w:t xml:space="preserve"> (First </w:t>
      </w:r>
      <w:r w:rsidRPr="00C6608E">
        <w:t xml:space="preserve">Approver) </w:t>
      </w:r>
      <w:r w:rsidR="00760D63">
        <w:t xml:space="preserve">and </w:t>
      </w:r>
      <w:r w:rsidRPr="00271798">
        <w:t>VP External Relations and Advancement</w:t>
      </w:r>
      <w:r>
        <w:t xml:space="preserve"> (Second Approver).</w:t>
      </w:r>
    </w:p>
    <w:p w14:paraId="389DD011" w14:textId="73E9367B" w:rsidR="000F46D4" w:rsidRPr="003667D1" w:rsidRDefault="000F46D4" w:rsidP="000F46D4">
      <w:pPr>
        <w:pStyle w:val="ListParagraph"/>
        <w:numPr>
          <w:ilvl w:val="0"/>
          <w:numId w:val="2"/>
        </w:numPr>
        <w:spacing w:after="120"/>
        <w:contextualSpacing w:val="0"/>
        <w:rPr>
          <w:b/>
        </w:rPr>
      </w:pPr>
      <w:r w:rsidRPr="003667D1">
        <w:rPr>
          <w:b/>
        </w:rPr>
        <w:t>Regulatory Licenses</w:t>
      </w:r>
    </w:p>
    <w:p w14:paraId="66292A37" w14:textId="19AF8666" w:rsidR="00B46218" w:rsidRDefault="00B46218" w:rsidP="005C656F">
      <w:pPr>
        <w:pStyle w:val="ListParagraph"/>
        <w:numPr>
          <w:ilvl w:val="1"/>
          <w:numId w:val="2"/>
        </w:numPr>
        <w:spacing w:after="120"/>
        <w:contextualSpacing w:val="0"/>
      </w:pPr>
      <w:r>
        <w:t xml:space="preserve">Regulatory licenses (for example the sale of liquor) </w:t>
      </w:r>
      <w:r w:rsidR="00170FD0">
        <w:t xml:space="preserve">will be </w:t>
      </w:r>
      <w:r>
        <w:t>approved by the relevant Manager or Director (</w:t>
      </w:r>
      <w:r w:rsidR="00385938">
        <w:t>First Approver</w:t>
      </w:r>
      <w:r>
        <w:t xml:space="preserve">) and the </w:t>
      </w:r>
      <w:r w:rsidR="00CE1F4D">
        <w:t>applicable Executive Compliance Lead under the Compliance Policy</w:t>
      </w:r>
      <w:r>
        <w:t xml:space="preserve"> (</w:t>
      </w:r>
      <w:r w:rsidR="00385938">
        <w:t>Second Approver</w:t>
      </w:r>
      <w:r>
        <w:t xml:space="preserve">).  </w:t>
      </w:r>
    </w:p>
    <w:p w14:paraId="54457013" w14:textId="77777777" w:rsidR="00054D5E" w:rsidRPr="00BB29B8" w:rsidRDefault="009126F8" w:rsidP="009126F8">
      <w:pPr>
        <w:spacing w:after="120"/>
        <w:ind w:firstLine="0"/>
        <w:rPr>
          <w:b/>
        </w:rPr>
      </w:pPr>
      <w:r>
        <w:rPr>
          <w:b/>
        </w:rPr>
        <w:t>MONITORING AND REVIEW</w:t>
      </w:r>
    </w:p>
    <w:p w14:paraId="06E9588E" w14:textId="447E3318" w:rsidR="00347BFC" w:rsidRPr="009126F8" w:rsidRDefault="00E403C0" w:rsidP="000E4733">
      <w:pPr>
        <w:pStyle w:val="ListParagraph"/>
        <w:numPr>
          <w:ilvl w:val="0"/>
          <w:numId w:val="2"/>
        </w:numPr>
        <w:spacing w:after="120"/>
        <w:contextualSpacing w:val="0"/>
        <w:rPr>
          <w:b/>
        </w:rPr>
      </w:pPr>
      <w:r w:rsidRPr="003D7B9C">
        <w:t>Th</w:t>
      </w:r>
      <w:r>
        <w:t>is</w:t>
      </w:r>
      <w:r w:rsidRPr="003D7B9C">
        <w:t xml:space="preserve"> </w:t>
      </w:r>
      <w:r w:rsidR="00B46218">
        <w:t>P</w:t>
      </w:r>
      <w:r w:rsidR="003D7B9C" w:rsidRPr="003D7B9C">
        <w:t xml:space="preserve">rocedure will be reviewed as necessary and at least every three years.  The </w:t>
      </w:r>
      <w:r w:rsidR="002F0968">
        <w:t>General Counsel</w:t>
      </w:r>
      <w:r w:rsidR="003D7B9C" w:rsidRPr="003D7B9C">
        <w:t xml:space="preserve">, or successor thereof, is responsible to monitor and review </w:t>
      </w:r>
      <w:r w:rsidRPr="003D7B9C">
        <w:t>th</w:t>
      </w:r>
      <w:r>
        <w:t>is</w:t>
      </w:r>
      <w:r w:rsidRPr="003D7B9C">
        <w:t xml:space="preserve"> </w:t>
      </w:r>
      <w:r w:rsidR="002F0968">
        <w:t>P</w:t>
      </w:r>
      <w:r w:rsidR="003D7B9C" w:rsidRPr="003D7B9C">
        <w:t>rocedure.</w:t>
      </w:r>
    </w:p>
    <w:p w14:paraId="40F6F649" w14:textId="77777777" w:rsidR="009126F8" w:rsidRDefault="009126F8" w:rsidP="009126F8">
      <w:pPr>
        <w:pStyle w:val="ListParagraph"/>
        <w:spacing w:after="120"/>
        <w:ind w:firstLine="0"/>
        <w:contextualSpacing w:val="0"/>
        <w:rPr>
          <w:b/>
        </w:rPr>
      </w:pPr>
    </w:p>
    <w:p w14:paraId="5D5318EC" w14:textId="77777777" w:rsidR="009126F8" w:rsidRPr="009126F8" w:rsidRDefault="009126F8" w:rsidP="009126F8">
      <w:pPr>
        <w:spacing w:after="120"/>
        <w:ind w:firstLine="0"/>
        <w:rPr>
          <w:b/>
        </w:rPr>
      </w:pPr>
      <w:r>
        <w:rPr>
          <w:b/>
        </w:rPr>
        <w:t>RELEVANT LEGISLATION</w:t>
      </w:r>
    </w:p>
    <w:p w14:paraId="57EFFDBC" w14:textId="77777777" w:rsidR="00FD5EFB" w:rsidRPr="002F0968" w:rsidRDefault="002F0968" w:rsidP="007B00F0">
      <w:pPr>
        <w:pStyle w:val="ListParagraph"/>
        <w:numPr>
          <w:ilvl w:val="0"/>
          <w:numId w:val="2"/>
        </w:numPr>
        <w:spacing w:after="120"/>
        <w:contextualSpacing w:val="0"/>
      </w:pPr>
      <w:r w:rsidRPr="002F0968">
        <w:t>This section intentionally left blank.</w:t>
      </w:r>
    </w:p>
    <w:p w14:paraId="2CE5F3A2" w14:textId="77777777" w:rsidR="002F0968" w:rsidRPr="002F0968" w:rsidRDefault="002F0968" w:rsidP="002F0968">
      <w:pPr>
        <w:spacing w:after="120"/>
        <w:rPr>
          <w:b/>
        </w:rPr>
      </w:pPr>
    </w:p>
    <w:p w14:paraId="0CC05BA1" w14:textId="77777777" w:rsidR="009126F8" w:rsidRPr="009126F8" w:rsidRDefault="009126F8" w:rsidP="009126F8">
      <w:pPr>
        <w:spacing w:after="120"/>
        <w:ind w:firstLine="0"/>
        <w:rPr>
          <w:b/>
        </w:rPr>
      </w:pPr>
      <w:r>
        <w:rPr>
          <w:b/>
        </w:rPr>
        <w:t>RELATED POLICIES, PROCEDURES &amp; DOCUMENTS</w:t>
      </w:r>
    </w:p>
    <w:p w14:paraId="4A87F7CB" w14:textId="77777777" w:rsidR="003D7B9C" w:rsidRDefault="002F0968" w:rsidP="000E4733">
      <w:pPr>
        <w:pStyle w:val="ListParagraph"/>
        <w:numPr>
          <w:ilvl w:val="0"/>
          <w:numId w:val="2"/>
        </w:numPr>
        <w:spacing w:after="120"/>
        <w:contextualSpacing w:val="0"/>
      </w:pPr>
      <w:r>
        <w:t>Contract Management Policy</w:t>
      </w:r>
    </w:p>
    <w:p w14:paraId="5D3A0B73" w14:textId="77777777" w:rsidR="002F0968" w:rsidRDefault="002F0968" w:rsidP="002F0968">
      <w:pPr>
        <w:pStyle w:val="ListParagraph"/>
        <w:spacing w:after="120"/>
        <w:ind w:firstLine="0"/>
        <w:contextualSpacing w:val="0"/>
      </w:pPr>
      <w:r>
        <w:t>Legal Review of Contracts Procedure</w:t>
      </w:r>
    </w:p>
    <w:p w14:paraId="6346276F" w14:textId="051639F2" w:rsidR="00CE1F4D" w:rsidRDefault="00CE1F4D" w:rsidP="002F0968">
      <w:pPr>
        <w:pStyle w:val="ListParagraph"/>
        <w:spacing w:after="120"/>
        <w:ind w:firstLine="0"/>
        <w:contextualSpacing w:val="0"/>
      </w:pPr>
      <w:r>
        <w:t>Compliance Policy</w:t>
      </w:r>
    </w:p>
    <w:p w14:paraId="16D6196A" w14:textId="1DCD2D0E" w:rsidR="002F0968" w:rsidRDefault="002F0968" w:rsidP="002F0968">
      <w:pPr>
        <w:pStyle w:val="ListParagraph"/>
        <w:spacing w:after="120"/>
        <w:ind w:firstLine="0"/>
        <w:contextualSpacing w:val="0"/>
      </w:pPr>
      <w:r>
        <w:t xml:space="preserve">Signing Authority Policy </w:t>
      </w:r>
    </w:p>
    <w:p w14:paraId="5A9FDBEE" w14:textId="56CBB855" w:rsidR="00CE7FDD" w:rsidRDefault="002F0968" w:rsidP="00385938">
      <w:pPr>
        <w:pStyle w:val="ListParagraph"/>
        <w:spacing w:after="120"/>
        <w:ind w:firstLine="0"/>
        <w:contextualSpacing w:val="0"/>
      </w:pPr>
      <w:r>
        <w:t>Expenditure Signing Authority Procedures</w:t>
      </w:r>
    </w:p>
    <w:p w14:paraId="2FBB1382" w14:textId="577E5B96" w:rsidR="001F167F" w:rsidRDefault="001F167F" w:rsidP="00385938">
      <w:pPr>
        <w:pStyle w:val="ListParagraph"/>
        <w:spacing w:after="120"/>
        <w:ind w:firstLine="0"/>
        <w:contextualSpacing w:val="0"/>
      </w:pPr>
      <w:r>
        <w:t>Eth</w:t>
      </w:r>
      <w:r w:rsidR="00A2618E">
        <w:t>i</w:t>
      </w:r>
      <w:r>
        <w:t>cal Conduct Policy</w:t>
      </w:r>
    </w:p>
    <w:p w14:paraId="19747A4D" w14:textId="7B491466" w:rsidR="001F167F" w:rsidRDefault="001F167F" w:rsidP="00385938">
      <w:pPr>
        <w:pStyle w:val="ListParagraph"/>
        <w:spacing w:after="120"/>
        <w:ind w:firstLine="0"/>
        <w:contextualSpacing w:val="0"/>
      </w:pPr>
      <w:r>
        <w:t>Conflict of Interest Procedures</w:t>
      </w:r>
    </w:p>
    <w:p w14:paraId="606B8665" w14:textId="749FC0F9" w:rsidR="001F167F" w:rsidRDefault="001F167F" w:rsidP="00385938">
      <w:pPr>
        <w:pStyle w:val="ListParagraph"/>
        <w:spacing w:after="120"/>
        <w:ind w:firstLine="0"/>
        <w:contextualSpacing w:val="0"/>
      </w:pPr>
      <w:r>
        <w:t>Responsible Conduct of Research</w:t>
      </w:r>
    </w:p>
    <w:p w14:paraId="3AF8C4B9" w14:textId="79A75BA5" w:rsidR="001F167F" w:rsidRDefault="001F167F" w:rsidP="00385938">
      <w:pPr>
        <w:pStyle w:val="ListParagraph"/>
        <w:spacing w:after="120"/>
        <w:ind w:firstLine="0"/>
        <w:contextualSpacing w:val="0"/>
      </w:pPr>
      <w:r>
        <w:t>Conflict of Interest in Research Policy</w:t>
      </w:r>
    </w:p>
    <w:p w14:paraId="2473B537" w14:textId="56ABBBF7" w:rsidR="00330F24" w:rsidRDefault="00330F24" w:rsidP="00385938">
      <w:pPr>
        <w:pStyle w:val="ListParagraph"/>
        <w:spacing w:after="120"/>
        <w:ind w:firstLine="0"/>
        <w:contextualSpacing w:val="0"/>
      </w:pPr>
      <w:r>
        <w:t>Gift Acceptance Policy</w:t>
      </w:r>
    </w:p>
    <w:p w14:paraId="1556DA6F" w14:textId="3AF24A33" w:rsidR="00330F24" w:rsidRPr="00385938" w:rsidRDefault="00330F24" w:rsidP="00385938">
      <w:pPr>
        <w:pStyle w:val="ListParagraph"/>
        <w:spacing w:after="120"/>
        <w:ind w:firstLine="0"/>
        <w:contextualSpacing w:val="0"/>
      </w:pPr>
      <w:r>
        <w:t>Access to Information and Protection of Privacy Policy</w:t>
      </w:r>
    </w:p>
    <w:sectPr w:rsidR="00330F24" w:rsidRPr="00385938" w:rsidSect="00DC17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F9E7" w14:textId="77777777" w:rsidR="0018762E" w:rsidRDefault="0018762E" w:rsidP="00F41EAB">
      <w:r>
        <w:separator/>
      </w:r>
    </w:p>
  </w:endnote>
  <w:endnote w:type="continuationSeparator" w:id="0">
    <w:p w14:paraId="081A4616" w14:textId="77777777" w:rsidR="0018762E" w:rsidRDefault="0018762E" w:rsidP="00F41EAB">
      <w:r>
        <w:continuationSeparator/>
      </w:r>
    </w:p>
  </w:endnote>
  <w:endnote w:type="continuationNotice" w:id="1">
    <w:p w14:paraId="4AB2F64D" w14:textId="77777777" w:rsidR="0018762E" w:rsidRDefault="00187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566B" w14:textId="77777777" w:rsidR="00AD26B6" w:rsidRDefault="00AD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09234"/>
      <w:docPartObj>
        <w:docPartGallery w:val="Page Numbers (Bottom of Page)"/>
        <w:docPartUnique/>
      </w:docPartObj>
    </w:sdtPr>
    <w:sdtEndPr/>
    <w:sdtContent>
      <w:sdt>
        <w:sdtPr>
          <w:id w:val="1509091937"/>
          <w:docPartObj>
            <w:docPartGallery w:val="Page Numbers (Top of Page)"/>
            <w:docPartUnique/>
          </w:docPartObj>
        </w:sdtPr>
        <w:sdtEndPr/>
        <w:sdtContent>
          <w:p w14:paraId="18DE6445" w14:textId="1AD3CF23" w:rsidR="007B00F0" w:rsidRPr="00BA7777" w:rsidRDefault="007B00F0">
            <w:pPr>
              <w:pStyle w:val="Footer"/>
              <w:jc w:val="right"/>
            </w:pPr>
            <w:r w:rsidRPr="00BA7777">
              <w:t xml:space="preserve">Page </w:t>
            </w:r>
            <w:r w:rsidRPr="00BA7777">
              <w:rPr>
                <w:bCs/>
                <w:sz w:val="24"/>
                <w:szCs w:val="24"/>
              </w:rPr>
              <w:fldChar w:fldCharType="begin"/>
            </w:r>
            <w:r w:rsidRPr="00BA7777">
              <w:rPr>
                <w:bCs/>
              </w:rPr>
              <w:instrText xml:space="preserve"> PAGE </w:instrText>
            </w:r>
            <w:r w:rsidRPr="00BA7777">
              <w:rPr>
                <w:bCs/>
                <w:sz w:val="24"/>
                <w:szCs w:val="24"/>
              </w:rPr>
              <w:fldChar w:fldCharType="separate"/>
            </w:r>
            <w:r>
              <w:rPr>
                <w:bCs/>
                <w:noProof/>
              </w:rPr>
              <w:t>6</w:t>
            </w:r>
            <w:r w:rsidRPr="00BA7777">
              <w:rPr>
                <w:bCs/>
                <w:sz w:val="24"/>
                <w:szCs w:val="24"/>
              </w:rPr>
              <w:fldChar w:fldCharType="end"/>
            </w:r>
            <w:r w:rsidRPr="00BA7777">
              <w:t xml:space="preserve"> of </w:t>
            </w:r>
            <w:r w:rsidRPr="00BA7777">
              <w:rPr>
                <w:bCs/>
                <w:sz w:val="24"/>
                <w:szCs w:val="24"/>
              </w:rPr>
              <w:fldChar w:fldCharType="begin"/>
            </w:r>
            <w:r w:rsidRPr="00BA7777">
              <w:rPr>
                <w:bCs/>
              </w:rPr>
              <w:instrText xml:space="preserve"> NUMPAGES  </w:instrText>
            </w:r>
            <w:r w:rsidRPr="00BA7777">
              <w:rPr>
                <w:bCs/>
                <w:sz w:val="24"/>
                <w:szCs w:val="24"/>
              </w:rPr>
              <w:fldChar w:fldCharType="separate"/>
            </w:r>
            <w:r>
              <w:rPr>
                <w:bCs/>
                <w:noProof/>
              </w:rPr>
              <w:t>6</w:t>
            </w:r>
            <w:r w:rsidRPr="00BA7777">
              <w:rPr>
                <w:bCs/>
                <w:sz w:val="24"/>
                <w:szCs w:val="24"/>
              </w:rPr>
              <w:fldChar w:fldCharType="end"/>
            </w:r>
          </w:p>
        </w:sdtContent>
      </w:sdt>
    </w:sdtContent>
  </w:sdt>
  <w:p w14:paraId="26B96331" w14:textId="77777777" w:rsidR="007B00F0" w:rsidRDefault="0018762E">
    <w:pPr>
      <w:pStyle w:val="Footer"/>
    </w:pPr>
    <w:r>
      <w:fldChar w:fldCharType="begin"/>
    </w:r>
    <w:r>
      <w:instrText xml:space="preserve"> FILENAME \* MERGEFORMAT </w:instrText>
    </w:r>
    <w:r>
      <w:fldChar w:fldCharType="separate"/>
    </w:r>
    <w:r w:rsidR="007B00F0">
      <w:rPr>
        <w:noProof/>
      </w:rPr>
      <w:t>Draft Policy - Template (September 2014).docx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52108"/>
      <w:docPartObj>
        <w:docPartGallery w:val="Page Numbers (Bottom of Page)"/>
        <w:docPartUnique/>
      </w:docPartObj>
    </w:sdtPr>
    <w:sdtEndPr/>
    <w:sdtContent>
      <w:sdt>
        <w:sdtPr>
          <w:id w:val="-1769616900"/>
          <w:docPartObj>
            <w:docPartGallery w:val="Page Numbers (Top of Page)"/>
            <w:docPartUnique/>
          </w:docPartObj>
        </w:sdtPr>
        <w:sdtEndPr/>
        <w:sdtContent>
          <w:p w14:paraId="796F8CD4" w14:textId="7047252D" w:rsidR="007B00F0" w:rsidRPr="00D96BE3" w:rsidRDefault="007B00F0">
            <w:pPr>
              <w:pStyle w:val="Footer"/>
              <w:jc w:val="right"/>
            </w:pPr>
            <w:r w:rsidRPr="00D96BE3">
              <w:t xml:space="preserve">Page </w:t>
            </w:r>
            <w:r w:rsidRPr="00D96BE3">
              <w:rPr>
                <w:bCs/>
                <w:sz w:val="24"/>
                <w:szCs w:val="24"/>
              </w:rPr>
              <w:fldChar w:fldCharType="begin"/>
            </w:r>
            <w:r w:rsidRPr="00D96BE3">
              <w:rPr>
                <w:bCs/>
              </w:rPr>
              <w:instrText xml:space="preserve"> PAGE </w:instrText>
            </w:r>
            <w:r w:rsidRPr="00D96BE3">
              <w:rPr>
                <w:bCs/>
                <w:sz w:val="24"/>
                <w:szCs w:val="24"/>
              </w:rPr>
              <w:fldChar w:fldCharType="separate"/>
            </w:r>
            <w:r>
              <w:rPr>
                <w:bCs/>
                <w:noProof/>
              </w:rPr>
              <w:t>1</w:t>
            </w:r>
            <w:r w:rsidRPr="00D96BE3">
              <w:rPr>
                <w:bCs/>
                <w:sz w:val="24"/>
                <w:szCs w:val="24"/>
              </w:rPr>
              <w:fldChar w:fldCharType="end"/>
            </w:r>
            <w:r w:rsidRPr="00D96BE3">
              <w:t xml:space="preserve"> of </w:t>
            </w:r>
            <w:r w:rsidRPr="00D96BE3">
              <w:rPr>
                <w:bCs/>
                <w:sz w:val="24"/>
                <w:szCs w:val="24"/>
              </w:rPr>
              <w:fldChar w:fldCharType="begin"/>
            </w:r>
            <w:r w:rsidRPr="00D96BE3">
              <w:rPr>
                <w:bCs/>
              </w:rPr>
              <w:instrText xml:space="preserve"> NUMPAGES  </w:instrText>
            </w:r>
            <w:r w:rsidRPr="00D96BE3">
              <w:rPr>
                <w:bCs/>
                <w:sz w:val="24"/>
                <w:szCs w:val="24"/>
              </w:rPr>
              <w:fldChar w:fldCharType="separate"/>
            </w:r>
            <w:r>
              <w:rPr>
                <w:bCs/>
                <w:noProof/>
              </w:rPr>
              <w:t>6</w:t>
            </w:r>
            <w:r w:rsidRPr="00D96BE3">
              <w:rPr>
                <w:bCs/>
                <w:sz w:val="24"/>
                <w:szCs w:val="24"/>
              </w:rPr>
              <w:fldChar w:fldCharType="end"/>
            </w:r>
          </w:p>
        </w:sdtContent>
      </w:sdt>
    </w:sdtContent>
  </w:sdt>
  <w:p w14:paraId="477A9348" w14:textId="77777777" w:rsidR="007B00F0" w:rsidRDefault="007B00F0">
    <w:pPr>
      <w:pStyle w:val="Footer"/>
    </w:pPr>
    <w:r>
      <w:t>Policy Framework Procedures Appendix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0D78" w14:textId="77777777" w:rsidR="0018762E" w:rsidRDefault="0018762E" w:rsidP="00F41EAB">
      <w:r>
        <w:separator/>
      </w:r>
    </w:p>
  </w:footnote>
  <w:footnote w:type="continuationSeparator" w:id="0">
    <w:p w14:paraId="0642547E" w14:textId="77777777" w:rsidR="0018762E" w:rsidRDefault="0018762E" w:rsidP="00F41EAB">
      <w:r>
        <w:continuationSeparator/>
      </w:r>
    </w:p>
  </w:footnote>
  <w:footnote w:type="continuationNotice" w:id="1">
    <w:p w14:paraId="366EBF46" w14:textId="77777777" w:rsidR="0018762E" w:rsidRDefault="00187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AC08" w14:textId="77777777" w:rsidR="00AD26B6" w:rsidRDefault="00AD2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331841"/>
      <w:docPartObj>
        <w:docPartGallery w:val="Watermarks"/>
        <w:docPartUnique/>
      </w:docPartObj>
    </w:sdtPr>
    <w:sdtContent>
      <w:p w14:paraId="44F11B6C" w14:textId="2D3D0088" w:rsidR="007B00F0" w:rsidRDefault="00AD26B6" w:rsidP="00C858E9">
        <w:pPr>
          <w:pStyle w:val="Header"/>
        </w:pPr>
        <w:r>
          <w:rPr>
            <w:noProof/>
          </w:rPr>
          <w:pict w14:anchorId="553AD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70B5D539" w14:textId="77777777" w:rsidR="007B00F0" w:rsidRDefault="007B00F0" w:rsidP="00E0751F">
    <w:pPr>
      <w:pStyle w:val="Header"/>
      <w:tabs>
        <w:tab w:val="clear" w:pos="4680"/>
        <w:tab w:val="clear" w:pos="9360"/>
        <w:tab w:val="left" w:pos="7845"/>
      </w:tabs>
    </w:pPr>
    <w:r>
      <w:tab/>
    </w:r>
  </w:p>
  <w:p w14:paraId="0AC1E77E" w14:textId="77777777" w:rsidR="007B00F0" w:rsidRDefault="007B00F0" w:rsidP="00E0751F">
    <w:pPr>
      <w:pStyle w:val="Header"/>
      <w:tabs>
        <w:tab w:val="clear" w:pos="4680"/>
        <w:tab w:val="clear" w:pos="9360"/>
        <w:tab w:val="left" w:pos="78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69" w:type="dxa"/>
      <w:tblInd w:w="4739" w:type="dxa"/>
      <w:shd w:val="clear" w:color="auto" w:fill="DBE5F1" w:themeFill="accent1" w:themeFillTint="33"/>
      <w:tblLook w:val="04A0" w:firstRow="1" w:lastRow="0" w:firstColumn="1" w:lastColumn="0" w:noHBand="0" w:noVBand="1"/>
    </w:tblPr>
    <w:tblGrid>
      <w:gridCol w:w="2276"/>
      <w:gridCol w:w="2993"/>
    </w:tblGrid>
    <w:tr w:rsidR="007B00F0" w14:paraId="0C88940F" w14:textId="77777777" w:rsidTr="00F07BE6">
      <w:tc>
        <w:tcPr>
          <w:tcW w:w="2276" w:type="dxa"/>
          <w:shd w:val="clear" w:color="auto" w:fill="DBE5F1" w:themeFill="accent1" w:themeFillTint="33"/>
        </w:tcPr>
        <w:p w14:paraId="0DEF0C3C" w14:textId="77777777" w:rsidR="007B00F0" w:rsidRPr="00C77A8A" w:rsidRDefault="007B00F0" w:rsidP="003D7AA4">
          <w:pPr>
            <w:pStyle w:val="Header"/>
            <w:ind w:firstLine="0"/>
          </w:pPr>
          <w:r>
            <w:t>Classification Number</w:t>
          </w:r>
        </w:p>
      </w:tc>
      <w:tc>
        <w:tcPr>
          <w:tcW w:w="2993" w:type="dxa"/>
          <w:shd w:val="clear" w:color="auto" w:fill="DBE5F1" w:themeFill="accent1" w:themeFillTint="33"/>
        </w:tcPr>
        <w:p w14:paraId="26B518E3" w14:textId="77777777" w:rsidR="007B00F0" w:rsidRPr="00F07BE6" w:rsidRDefault="007B00F0" w:rsidP="00054D5E">
          <w:pPr>
            <w:pStyle w:val="Header"/>
            <w:ind w:firstLine="0"/>
            <w:rPr>
              <w:i/>
            </w:rPr>
          </w:pPr>
          <w:r>
            <w:rPr>
              <w:i/>
            </w:rPr>
            <w:t>To be assigned by Policy Office</w:t>
          </w:r>
        </w:p>
      </w:tc>
    </w:tr>
    <w:tr w:rsidR="007B00F0" w14:paraId="719DB51D" w14:textId="77777777" w:rsidTr="00F07BE6">
      <w:tc>
        <w:tcPr>
          <w:tcW w:w="2276" w:type="dxa"/>
          <w:shd w:val="clear" w:color="auto" w:fill="DBE5F1" w:themeFill="accent1" w:themeFillTint="33"/>
        </w:tcPr>
        <w:p w14:paraId="6EA4C3E3" w14:textId="77777777" w:rsidR="007B00F0" w:rsidRPr="00C77A8A" w:rsidRDefault="007B00F0" w:rsidP="00F07BE6">
          <w:pPr>
            <w:pStyle w:val="Header"/>
            <w:ind w:firstLine="0"/>
          </w:pPr>
          <w:r>
            <w:t>Framework Category</w:t>
          </w:r>
        </w:p>
      </w:tc>
      <w:tc>
        <w:tcPr>
          <w:tcW w:w="2993" w:type="dxa"/>
          <w:shd w:val="clear" w:color="auto" w:fill="DBE5F1" w:themeFill="accent1" w:themeFillTint="33"/>
        </w:tcPr>
        <w:p w14:paraId="41FBBD65" w14:textId="77777777" w:rsidR="007B00F0" w:rsidRPr="00F07BE6" w:rsidRDefault="007B00F0" w:rsidP="00F07BE6">
          <w:pPr>
            <w:pStyle w:val="Header"/>
            <w:ind w:firstLine="0"/>
            <w:rPr>
              <w:i/>
            </w:rPr>
          </w:pPr>
          <w:r>
            <w:rPr>
              <w:i/>
            </w:rPr>
            <w:t>To be assigned by Policy Office</w:t>
          </w:r>
        </w:p>
      </w:tc>
    </w:tr>
    <w:tr w:rsidR="007B00F0" w14:paraId="34B2A12D" w14:textId="77777777" w:rsidTr="00F07BE6">
      <w:tc>
        <w:tcPr>
          <w:tcW w:w="2276" w:type="dxa"/>
          <w:shd w:val="clear" w:color="auto" w:fill="DBE5F1" w:themeFill="accent1" w:themeFillTint="33"/>
        </w:tcPr>
        <w:p w14:paraId="4A3A092E" w14:textId="77777777" w:rsidR="007B00F0" w:rsidRPr="00C77A8A" w:rsidRDefault="007B00F0" w:rsidP="00F07BE6">
          <w:pPr>
            <w:pStyle w:val="Header"/>
            <w:ind w:firstLine="0"/>
          </w:pPr>
          <w:r>
            <w:t>Approving Authority</w:t>
          </w:r>
        </w:p>
      </w:tc>
      <w:tc>
        <w:tcPr>
          <w:tcW w:w="2993" w:type="dxa"/>
          <w:shd w:val="clear" w:color="auto" w:fill="DBE5F1" w:themeFill="accent1" w:themeFillTint="33"/>
        </w:tcPr>
        <w:p w14:paraId="2F7EF610" w14:textId="77777777" w:rsidR="007B00F0" w:rsidRPr="00F07BE6" w:rsidRDefault="007B00F0" w:rsidP="00F07BE6">
          <w:pPr>
            <w:pStyle w:val="Header"/>
            <w:ind w:firstLine="0"/>
            <w:rPr>
              <w:i/>
            </w:rPr>
          </w:pPr>
          <w:r>
            <w:rPr>
              <w:i/>
            </w:rPr>
            <w:t>To be assigned by Policy Office</w:t>
          </w:r>
        </w:p>
      </w:tc>
    </w:tr>
    <w:tr w:rsidR="007B00F0" w14:paraId="487C8164" w14:textId="77777777" w:rsidTr="00F07BE6">
      <w:tc>
        <w:tcPr>
          <w:tcW w:w="2276" w:type="dxa"/>
          <w:shd w:val="clear" w:color="auto" w:fill="DBE5F1" w:themeFill="accent1" w:themeFillTint="33"/>
        </w:tcPr>
        <w:p w14:paraId="43DDFB43" w14:textId="77777777" w:rsidR="007B00F0" w:rsidRPr="00C77A8A" w:rsidRDefault="007B00F0" w:rsidP="00F07BE6">
          <w:pPr>
            <w:pStyle w:val="Header"/>
            <w:ind w:firstLine="0"/>
          </w:pPr>
          <w:r>
            <w:t>Policy Owner</w:t>
          </w:r>
        </w:p>
      </w:tc>
      <w:tc>
        <w:tcPr>
          <w:tcW w:w="2993" w:type="dxa"/>
          <w:shd w:val="clear" w:color="auto" w:fill="DBE5F1" w:themeFill="accent1" w:themeFillTint="33"/>
        </w:tcPr>
        <w:p w14:paraId="35FD10DB" w14:textId="77777777" w:rsidR="007B00F0" w:rsidRPr="00C77A8A" w:rsidRDefault="007B00F0" w:rsidP="00F07BE6">
          <w:pPr>
            <w:pStyle w:val="Header"/>
            <w:ind w:firstLine="0"/>
          </w:pPr>
          <w:r>
            <w:t>General Counsel</w:t>
          </w:r>
        </w:p>
      </w:tc>
    </w:tr>
    <w:tr w:rsidR="007B00F0" w14:paraId="05EE64E4" w14:textId="77777777" w:rsidTr="00F07BE6">
      <w:tc>
        <w:tcPr>
          <w:tcW w:w="2276" w:type="dxa"/>
          <w:shd w:val="clear" w:color="auto" w:fill="DBE5F1" w:themeFill="accent1" w:themeFillTint="33"/>
        </w:tcPr>
        <w:p w14:paraId="6B7CBF61" w14:textId="77777777" w:rsidR="007B00F0" w:rsidRPr="00C77A8A" w:rsidRDefault="007B00F0" w:rsidP="00F07BE6">
          <w:pPr>
            <w:pStyle w:val="Header"/>
            <w:ind w:firstLine="0"/>
          </w:pPr>
          <w:r>
            <w:t>Approval Date</w:t>
          </w:r>
        </w:p>
      </w:tc>
      <w:tc>
        <w:tcPr>
          <w:tcW w:w="2993" w:type="dxa"/>
          <w:shd w:val="clear" w:color="auto" w:fill="DBE5F1" w:themeFill="accent1" w:themeFillTint="33"/>
        </w:tcPr>
        <w:p w14:paraId="2BC6D537" w14:textId="77777777" w:rsidR="007B00F0" w:rsidRPr="00C77A8A" w:rsidRDefault="007B00F0" w:rsidP="00F07BE6">
          <w:pPr>
            <w:pStyle w:val="Header"/>
            <w:ind w:firstLine="0"/>
          </w:pPr>
          <w:r>
            <w:t>DRAFT FOR REVIEW</w:t>
          </w:r>
        </w:p>
      </w:tc>
    </w:tr>
    <w:tr w:rsidR="007B00F0" w14:paraId="420451C4" w14:textId="77777777" w:rsidTr="00F07BE6">
      <w:tc>
        <w:tcPr>
          <w:tcW w:w="2276" w:type="dxa"/>
          <w:shd w:val="clear" w:color="auto" w:fill="DBE5F1" w:themeFill="accent1" w:themeFillTint="33"/>
        </w:tcPr>
        <w:p w14:paraId="25A1445D" w14:textId="77777777" w:rsidR="007B00F0" w:rsidRPr="00C77A8A" w:rsidRDefault="007B00F0" w:rsidP="00F07BE6">
          <w:pPr>
            <w:pStyle w:val="Header"/>
            <w:ind w:firstLine="0"/>
          </w:pPr>
          <w:r>
            <w:t>Review Date</w:t>
          </w:r>
        </w:p>
      </w:tc>
      <w:tc>
        <w:tcPr>
          <w:tcW w:w="2993" w:type="dxa"/>
          <w:shd w:val="clear" w:color="auto" w:fill="DBE5F1" w:themeFill="accent1" w:themeFillTint="33"/>
        </w:tcPr>
        <w:p w14:paraId="36C86CD7" w14:textId="77777777" w:rsidR="007B00F0" w:rsidRPr="00C77A8A" w:rsidRDefault="007B00F0" w:rsidP="00F07BE6">
          <w:pPr>
            <w:pStyle w:val="Header"/>
            <w:ind w:firstLine="0"/>
          </w:pPr>
        </w:p>
      </w:tc>
    </w:tr>
    <w:tr w:rsidR="007B00F0" w14:paraId="3BD1CBAB" w14:textId="77777777" w:rsidTr="00F07BE6">
      <w:tc>
        <w:tcPr>
          <w:tcW w:w="2276" w:type="dxa"/>
          <w:shd w:val="clear" w:color="auto" w:fill="DBE5F1" w:themeFill="accent1" w:themeFillTint="33"/>
        </w:tcPr>
        <w:p w14:paraId="3AC1A7FE" w14:textId="77777777" w:rsidR="007B00F0" w:rsidRDefault="007B00F0" w:rsidP="00F07BE6">
          <w:pPr>
            <w:pStyle w:val="Header"/>
            <w:ind w:firstLine="0"/>
          </w:pPr>
          <w:r>
            <w:t>Supersedes</w:t>
          </w:r>
        </w:p>
      </w:tc>
      <w:tc>
        <w:tcPr>
          <w:tcW w:w="2993" w:type="dxa"/>
          <w:shd w:val="clear" w:color="auto" w:fill="DBE5F1" w:themeFill="accent1" w:themeFillTint="33"/>
        </w:tcPr>
        <w:p w14:paraId="3256824E" w14:textId="77777777" w:rsidR="007B00F0" w:rsidRPr="00C77A8A" w:rsidRDefault="007B00F0" w:rsidP="00F07BE6">
          <w:pPr>
            <w:pStyle w:val="Header"/>
            <w:ind w:firstLine="0"/>
          </w:pPr>
        </w:p>
      </w:tc>
    </w:tr>
  </w:tbl>
  <w:p w14:paraId="7A7F3715" w14:textId="77777777" w:rsidR="007B00F0" w:rsidRDefault="007B0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10B"/>
    <w:multiLevelType w:val="multilevel"/>
    <w:tmpl w:val="58FAD760"/>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B1FD7"/>
    <w:multiLevelType w:val="multilevel"/>
    <w:tmpl w:val="811A407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61206DC"/>
    <w:multiLevelType w:val="multilevel"/>
    <w:tmpl w:val="CCA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7A3D"/>
    <w:multiLevelType w:val="multilevel"/>
    <w:tmpl w:val="E54A02FE"/>
    <w:lvl w:ilvl="0">
      <w:start w:val="1"/>
      <w:numFmt w:val="decimal"/>
      <w:lvlText w:val="%1.0"/>
      <w:lvlJc w:val="left"/>
      <w:pPr>
        <w:ind w:left="360" w:hanging="360"/>
      </w:pPr>
      <w:rPr>
        <w:rFonts w:hint="default"/>
        <w:b/>
      </w:rPr>
    </w:lvl>
    <w:lvl w:ilvl="1">
      <w:start w:val="1"/>
      <w:numFmt w:val="decimal"/>
      <w:lvlText w:val="%2.0"/>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F2BD1"/>
    <w:multiLevelType w:val="hybridMultilevel"/>
    <w:tmpl w:val="4970AB7A"/>
    <w:lvl w:ilvl="0" w:tplc="45F4167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03309C"/>
    <w:multiLevelType w:val="hybridMultilevel"/>
    <w:tmpl w:val="FB189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1B1059"/>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EC6FFB"/>
    <w:multiLevelType w:val="hybridMultilevel"/>
    <w:tmpl w:val="9CF010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DCE2EE0"/>
    <w:multiLevelType w:val="hybridMultilevel"/>
    <w:tmpl w:val="A6F6C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74E"/>
    <w:multiLevelType w:val="hybridMultilevel"/>
    <w:tmpl w:val="75DE3DFC"/>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4A33DE"/>
    <w:multiLevelType w:val="hybridMultilevel"/>
    <w:tmpl w:val="16A407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2C65B2"/>
    <w:multiLevelType w:val="hybridMultilevel"/>
    <w:tmpl w:val="E5824EB6"/>
    <w:lvl w:ilvl="0" w:tplc="6F0A6E2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605CF"/>
    <w:multiLevelType w:val="hybridMultilevel"/>
    <w:tmpl w:val="F60CC7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4251D5E"/>
    <w:multiLevelType w:val="multilevel"/>
    <w:tmpl w:val="0D48C082"/>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9E38D9"/>
    <w:multiLevelType w:val="hybridMultilevel"/>
    <w:tmpl w:val="1294140E"/>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FD3991"/>
    <w:multiLevelType w:val="hybridMultilevel"/>
    <w:tmpl w:val="803E6BB4"/>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DB1D38"/>
    <w:multiLevelType w:val="hybridMultilevel"/>
    <w:tmpl w:val="318C1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187C81"/>
    <w:multiLevelType w:val="multilevel"/>
    <w:tmpl w:val="6838A5AC"/>
    <w:lvl w:ilvl="0">
      <w:start w:val="3"/>
      <w:numFmt w:val="decimal"/>
      <w:lvlText w:val="%1."/>
      <w:lvlJc w:val="left"/>
      <w:pPr>
        <w:ind w:left="360" w:hanging="360"/>
      </w:pPr>
      <w:rPr>
        <w:b/>
      </w:rPr>
    </w:lvl>
    <w:lvl w:ilvl="1">
      <w:start w:val="1"/>
      <w:numFmt w:val="decimal"/>
      <w:lvlText w:val="%1.%2."/>
      <w:lvlJc w:val="left"/>
      <w:pPr>
        <w:ind w:left="1602" w:hanging="432"/>
      </w:pPr>
      <w:rPr>
        <w:b/>
      </w:rPr>
    </w:lvl>
    <w:lvl w:ilvl="2">
      <w:start w:val="1"/>
      <w:numFmt w:val="decimal"/>
      <w:lvlText w:val="%3.0"/>
      <w:lvlJc w:val="left"/>
      <w:pPr>
        <w:ind w:left="1224" w:hanging="504"/>
      </w:pPr>
      <w:rPr>
        <w:b/>
      </w:rPr>
    </w:lvl>
    <w:lvl w:ilvl="3">
      <w:start w:val="1"/>
      <w:numFmt w:val="decimal"/>
      <w:lvlText w:val="%1.%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8" w15:restartNumberingAfterBreak="0">
    <w:nsid w:val="470B24C3"/>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EB6FC4"/>
    <w:multiLevelType w:val="hybridMultilevel"/>
    <w:tmpl w:val="01405C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A3C11BA"/>
    <w:multiLevelType w:val="multilevel"/>
    <w:tmpl w:val="6BCA8F80"/>
    <w:lvl w:ilvl="0">
      <w:start w:val="1"/>
      <w:numFmt w:val="bullet"/>
      <w:lvlText w:val="•"/>
      <w:lvlJc w:val="left"/>
      <w:pPr>
        <w:ind w:left="1440" w:hanging="72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BB23F05"/>
    <w:multiLevelType w:val="hybridMultilevel"/>
    <w:tmpl w:val="D5CEDC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C830B97"/>
    <w:multiLevelType w:val="hybridMultilevel"/>
    <w:tmpl w:val="83DE7C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0006068"/>
    <w:multiLevelType w:val="multilevel"/>
    <w:tmpl w:val="347AA4F8"/>
    <w:lvl w:ilvl="0">
      <w:start w:val="1"/>
      <w:numFmt w:val="decimal"/>
      <w:lvlText w:val="%1."/>
      <w:lvlJc w:val="left"/>
      <w:pPr>
        <w:ind w:left="720" w:hanging="720"/>
      </w:pPr>
      <w:rPr>
        <w:rFonts w:hint="default"/>
        <w:b/>
        <w:color w:val="auto"/>
      </w:rPr>
    </w:lvl>
    <w:lvl w:ilvl="1">
      <w:start w:val="1"/>
      <w:numFmt w:val="decimal"/>
      <w:lvlText w:val="%1.%2."/>
      <w:lvlJc w:val="left"/>
      <w:pPr>
        <w:ind w:left="1800" w:hanging="720"/>
      </w:pPr>
      <w:rPr>
        <w:rFonts w:hint="default"/>
        <w:b/>
        <w:i w:val="0"/>
      </w:rPr>
    </w:lvl>
    <w:lvl w:ilvl="2">
      <w:start w:val="1"/>
      <w:numFmt w:val="lowerLetter"/>
      <w:lvlText w:val="%3)"/>
      <w:lvlJc w:val="left"/>
      <w:pPr>
        <w:ind w:left="2520" w:hanging="72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0C1671"/>
    <w:multiLevelType w:val="hybridMultilevel"/>
    <w:tmpl w:val="408E1B2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BF7A91"/>
    <w:multiLevelType w:val="multilevel"/>
    <w:tmpl w:val="BFE67A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6" w15:restartNumberingAfterBreak="0">
    <w:nsid w:val="55E90D74"/>
    <w:multiLevelType w:val="hybridMultilevel"/>
    <w:tmpl w:val="8AF0AD42"/>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7" w15:restartNumberingAfterBreak="0">
    <w:nsid w:val="5A054D19"/>
    <w:multiLevelType w:val="multilevel"/>
    <w:tmpl w:val="2034EA28"/>
    <w:lvl w:ilvl="0">
      <w:start w:val="1"/>
      <w:numFmt w:val="decimal"/>
      <w:lvlText w:val="%1."/>
      <w:lvlJc w:val="left"/>
      <w:pPr>
        <w:ind w:left="720" w:hanging="720"/>
      </w:pPr>
      <w:rPr>
        <w:rFonts w:hint="default"/>
        <w:b/>
        <w:color w:val="auto"/>
      </w:rPr>
    </w:lvl>
    <w:lvl w:ilvl="1">
      <w:start w:val="1"/>
      <w:numFmt w:val="bullet"/>
      <w:lvlText w:val=""/>
      <w:lvlJc w:val="left"/>
      <w:pPr>
        <w:ind w:left="1800" w:hanging="720"/>
      </w:pPr>
      <w:rPr>
        <w:rFonts w:ascii="Symbol" w:hAnsi="Symbol"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935729"/>
    <w:multiLevelType w:val="hybridMultilevel"/>
    <w:tmpl w:val="3452B88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DC1DAB"/>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DA0DD6"/>
    <w:multiLevelType w:val="hybridMultilevel"/>
    <w:tmpl w:val="FBE07B76"/>
    <w:lvl w:ilvl="0" w:tplc="61A6A0E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8B3846"/>
    <w:multiLevelType w:val="multilevel"/>
    <w:tmpl w:val="1ED40720"/>
    <w:lvl w:ilvl="0">
      <w:start w:val="3"/>
      <w:numFmt w:val="bullet"/>
      <w:lvlText w:val="●"/>
      <w:lvlJc w:val="left"/>
      <w:pPr>
        <w:ind w:left="360" w:hanging="360"/>
      </w:pPr>
      <w:rPr>
        <w:b/>
      </w:rPr>
    </w:lvl>
    <w:lvl w:ilvl="1">
      <w:start w:val="1"/>
      <w:numFmt w:val="bullet"/>
      <w:lvlText w:val="○"/>
      <w:lvlJc w:val="left"/>
      <w:pPr>
        <w:ind w:left="1602" w:hanging="432"/>
      </w:pPr>
      <w:rPr>
        <w:b/>
      </w:rPr>
    </w:lvl>
    <w:lvl w:ilvl="2">
      <w:start w:val="1"/>
      <w:numFmt w:val="bullet"/>
      <w:lvlText w:val="■"/>
      <w:lvlJc w:val="left"/>
      <w:pPr>
        <w:ind w:left="1224" w:hanging="504"/>
      </w:pPr>
      <w:rPr>
        <w:b/>
      </w:rPr>
    </w:lvl>
    <w:lvl w:ilvl="3">
      <w:start w:val="1"/>
      <w:numFmt w:val="bullet"/>
      <w:lvlText w:val="●"/>
      <w:lvlJc w:val="left"/>
      <w:pPr>
        <w:ind w:left="1728" w:hanging="647"/>
      </w:pPr>
      <w:rPr>
        <w:rFonts w:ascii="Noto Sans Symbols" w:eastAsia="Noto Sans Symbols" w:hAnsi="Noto Sans Symbols" w:cs="Noto Sans Symbols"/>
      </w:rPr>
    </w:lvl>
    <w:lvl w:ilvl="4">
      <w:start w:val="1"/>
      <w:numFmt w:val="bullet"/>
      <w:lvlText w:val="○"/>
      <w:lvlJc w:val="left"/>
      <w:pPr>
        <w:ind w:left="2232" w:hanging="792"/>
      </w:pPr>
      <w:rPr>
        <w:rFonts w:ascii="Noto Sans Symbols" w:eastAsia="Noto Sans Symbols" w:hAnsi="Noto Sans Symbols" w:cs="Noto Sans Symbols"/>
      </w:rPr>
    </w:lvl>
    <w:lvl w:ilvl="5">
      <w:start w:val="1"/>
      <w:numFmt w:val="bullet"/>
      <w:lvlText w:val="■"/>
      <w:lvlJc w:val="left"/>
      <w:pPr>
        <w:ind w:left="2736" w:hanging="935"/>
      </w:pPr>
    </w:lvl>
    <w:lvl w:ilvl="6">
      <w:start w:val="1"/>
      <w:numFmt w:val="bullet"/>
      <w:lvlText w:val="●"/>
      <w:lvlJc w:val="left"/>
      <w:pPr>
        <w:ind w:left="3240" w:hanging="1080"/>
      </w:pPr>
    </w:lvl>
    <w:lvl w:ilvl="7">
      <w:start w:val="1"/>
      <w:numFmt w:val="bullet"/>
      <w:lvlText w:val="○"/>
      <w:lvlJc w:val="left"/>
      <w:pPr>
        <w:ind w:left="3744" w:hanging="1494"/>
      </w:pPr>
    </w:lvl>
    <w:lvl w:ilvl="8">
      <w:start w:val="1"/>
      <w:numFmt w:val="bullet"/>
      <w:lvlText w:val="■"/>
      <w:lvlJc w:val="left"/>
      <w:pPr>
        <w:ind w:left="4320" w:hanging="1440"/>
      </w:pPr>
    </w:lvl>
  </w:abstractNum>
  <w:abstractNum w:abstractNumId="32" w15:restartNumberingAfterBreak="0">
    <w:nsid w:val="7834259A"/>
    <w:multiLevelType w:val="hybridMultilevel"/>
    <w:tmpl w:val="4CB880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3"/>
  </w:num>
  <w:num w:numId="3">
    <w:abstractNumId w:val="4"/>
  </w:num>
  <w:num w:numId="4">
    <w:abstractNumId w:val="18"/>
  </w:num>
  <w:num w:numId="5">
    <w:abstractNumId w:val="21"/>
  </w:num>
  <w:num w:numId="6">
    <w:abstractNumId w:val="22"/>
  </w:num>
  <w:num w:numId="7">
    <w:abstractNumId w:val="12"/>
  </w:num>
  <w:num w:numId="8">
    <w:abstractNumId w:val="19"/>
  </w:num>
  <w:num w:numId="9">
    <w:abstractNumId w:val="30"/>
  </w:num>
  <w:num w:numId="10">
    <w:abstractNumId w:val="14"/>
  </w:num>
  <w:num w:numId="11">
    <w:abstractNumId w:val="24"/>
  </w:num>
  <w:num w:numId="12">
    <w:abstractNumId w:val="9"/>
  </w:num>
  <w:num w:numId="13">
    <w:abstractNumId w:val="15"/>
  </w:num>
  <w:num w:numId="14">
    <w:abstractNumId w:val="28"/>
  </w:num>
  <w:num w:numId="15">
    <w:abstractNumId w:val="2"/>
  </w:num>
  <w:num w:numId="16">
    <w:abstractNumId w:val="26"/>
  </w:num>
  <w:num w:numId="17">
    <w:abstractNumId w:val="3"/>
  </w:num>
  <w:num w:numId="18">
    <w:abstractNumId w:val="6"/>
  </w:num>
  <w:num w:numId="19">
    <w:abstractNumId w:val="29"/>
  </w:num>
  <w:num w:numId="20">
    <w:abstractNumId w:val="32"/>
  </w:num>
  <w:num w:numId="21">
    <w:abstractNumId w:val="10"/>
  </w:num>
  <w:num w:numId="22">
    <w:abstractNumId w:val="7"/>
  </w:num>
  <w:num w:numId="23">
    <w:abstractNumId w:val="27"/>
  </w:num>
  <w:num w:numId="24">
    <w:abstractNumId w:val="13"/>
  </w:num>
  <w:num w:numId="25">
    <w:abstractNumId w:val="16"/>
  </w:num>
  <w:num w:numId="26">
    <w:abstractNumId w:val="25"/>
  </w:num>
  <w:num w:numId="27">
    <w:abstractNumId w:val="17"/>
  </w:num>
  <w:num w:numId="28">
    <w:abstractNumId w:val="31"/>
  </w:num>
  <w:num w:numId="29">
    <w:abstractNumId w:val="20"/>
  </w:num>
  <w:num w:numId="30">
    <w:abstractNumId w:val="1"/>
  </w:num>
  <w:num w:numId="31">
    <w:abstractNumId w:val="5"/>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24"/>
    <w:rsid w:val="00003627"/>
    <w:rsid w:val="00005472"/>
    <w:rsid w:val="0000687B"/>
    <w:rsid w:val="00010537"/>
    <w:rsid w:val="0001697E"/>
    <w:rsid w:val="00030380"/>
    <w:rsid w:val="000321F3"/>
    <w:rsid w:val="000368ED"/>
    <w:rsid w:val="000413A6"/>
    <w:rsid w:val="000469DB"/>
    <w:rsid w:val="000501FB"/>
    <w:rsid w:val="0005427A"/>
    <w:rsid w:val="00054D5E"/>
    <w:rsid w:val="00063185"/>
    <w:rsid w:val="00071EEC"/>
    <w:rsid w:val="00073AD9"/>
    <w:rsid w:val="00075AB8"/>
    <w:rsid w:val="00076AB6"/>
    <w:rsid w:val="00083064"/>
    <w:rsid w:val="0008596C"/>
    <w:rsid w:val="00091EAF"/>
    <w:rsid w:val="00092575"/>
    <w:rsid w:val="00094487"/>
    <w:rsid w:val="000962DF"/>
    <w:rsid w:val="000A056E"/>
    <w:rsid w:val="000A4F87"/>
    <w:rsid w:val="000A5507"/>
    <w:rsid w:val="000A6BB0"/>
    <w:rsid w:val="000C3054"/>
    <w:rsid w:val="000C5FCE"/>
    <w:rsid w:val="000C7701"/>
    <w:rsid w:val="000C7DB7"/>
    <w:rsid w:val="000D5F0F"/>
    <w:rsid w:val="000E4733"/>
    <w:rsid w:val="000F46D4"/>
    <w:rsid w:val="00103A0C"/>
    <w:rsid w:val="00107829"/>
    <w:rsid w:val="00107ECB"/>
    <w:rsid w:val="00107FAB"/>
    <w:rsid w:val="00111D59"/>
    <w:rsid w:val="00124186"/>
    <w:rsid w:val="0012695E"/>
    <w:rsid w:val="00130AAC"/>
    <w:rsid w:val="00134456"/>
    <w:rsid w:val="00134E02"/>
    <w:rsid w:val="00144602"/>
    <w:rsid w:val="001605D4"/>
    <w:rsid w:val="001611D2"/>
    <w:rsid w:val="001643BE"/>
    <w:rsid w:val="001661A1"/>
    <w:rsid w:val="00170FD0"/>
    <w:rsid w:val="00171C0C"/>
    <w:rsid w:val="001744BC"/>
    <w:rsid w:val="00174A87"/>
    <w:rsid w:val="00175565"/>
    <w:rsid w:val="00180B54"/>
    <w:rsid w:val="0018581C"/>
    <w:rsid w:val="0018762E"/>
    <w:rsid w:val="00187EA6"/>
    <w:rsid w:val="00191A46"/>
    <w:rsid w:val="00193AEB"/>
    <w:rsid w:val="00197EBC"/>
    <w:rsid w:val="001A3B08"/>
    <w:rsid w:val="001A6405"/>
    <w:rsid w:val="001A747A"/>
    <w:rsid w:val="001B1EBB"/>
    <w:rsid w:val="001B3709"/>
    <w:rsid w:val="001C0846"/>
    <w:rsid w:val="001C0F38"/>
    <w:rsid w:val="001C347B"/>
    <w:rsid w:val="001C6D1D"/>
    <w:rsid w:val="001D78EF"/>
    <w:rsid w:val="001E194B"/>
    <w:rsid w:val="001E2E25"/>
    <w:rsid w:val="001E7E01"/>
    <w:rsid w:val="001F167F"/>
    <w:rsid w:val="001F1EEE"/>
    <w:rsid w:val="00212BAA"/>
    <w:rsid w:val="0021637C"/>
    <w:rsid w:val="002205DE"/>
    <w:rsid w:val="00220647"/>
    <w:rsid w:val="00221474"/>
    <w:rsid w:val="00224D03"/>
    <w:rsid w:val="00226086"/>
    <w:rsid w:val="0023683F"/>
    <w:rsid w:val="0023744D"/>
    <w:rsid w:val="00245AC1"/>
    <w:rsid w:val="00255ECF"/>
    <w:rsid w:val="0026248A"/>
    <w:rsid w:val="00262F31"/>
    <w:rsid w:val="00263328"/>
    <w:rsid w:val="0026594D"/>
    <w:rsid w:val="00271798"/>
    <w:rsid w:val="0027393D"/>
    <w:rsid w:val="00286222"/>
    <w:rsid w:val="00294CD5"/>
    <w:rsid w:val="00296DFB"/>
    <w:rsid w:val="002A2F09"/>
    <w:rsid w:val="002B15A8"/>
    <w:rsid w:val="002B333A"/>
    <w:rsid w:val="002D0D4B"/>
    <w:rsid w:val="002D313B"/>
    <w:rsid w:val="002E064B"/>
    <w:rsid w:val="002E6971"/>
    <w:rsid w:val="002F0968"/>
    <w:rsid w:val="002F1A02"/>
    <w:rsid w:val="00307731"/>
    <w:rsid w:val="00321F0C"/>
    <w:rsid w:val="00330F24"/>
    <w:rsid w:val="00334CEA"/>
    <w:rsid w:val="00337E45"/>
    <w:rsid w:val="003420AD"/>
    <w:rsid w:val="00345914"/>
    <w:rsid w:val="0034667F"/>
    <w:rsid w:val="00346B2C"/>
    <w:rsid w:val="00347BFC"/>
    <w:rsid w:val="00356BDF"/>
    <w:rsid w:val="00361090"/>
    <w:rsid w:val="00362E1D"/>
    <w:rsid w:val="00365C5F"/>
    <w:rsid w:val="003667D1"/>
    <w:rsid w:val="00371C64"/>
    <w:rsid w:val="00377123"/>
    <w:rsid w:val="003805D7"/>
    <w:rsid w:val="00385938"/>
    <w:rsid w:val="003868B1"/>
    <w:rsid w:val="00392187"/>
    <w:rsid w:val="00393415"/>
    <w:rsid w:val="003963B0"/>
    <w:rsid w:val="003A232C"/>
    <w:rsid w:val="003A32F0"/>
    <w:rsid w:val="003A43E8"/>
    <w:rsid w:val="003B3AA6"/>
    <w:rsid w:val="003B58DE"/>
    <w:rsid w:val="003C0370"/>
    <w:rsid w:val="003C0E8E"/>
    <w:rsid w:val="003C51BA"/>
    <w:rsid w:val="003C72E0"/>
    <w:rsid w:val="003D7AA4"/>
    <w:rsid w:val="003D7B9C"/>
    <w:rsid w:val="003E49D7"/>
    <w:rsid w:val="004005C1"/>
    <w:rsid w:val="00404D32"/>
    <w:rsid w:val="004259C5"/>
    <w:rsid w:val="004271F0"/>
    <w:rsid w:val="004408DC"/>
    <w:rsid w:val="00441CC5"/>
    <w:rsid w:val="0044326A"/>
    <w:rsid w:val="004575D7"/>
    <w:rsid w:val="004602A2"/>
    <w:rsid w:val="00467546"/>
    <w:rsid w:val="004761C8"/>
    <w:rsid w:val="00477024"/>
    <w:rsid w:val="00481251"/>
    <w:rsid w:val="00483B5B"/>
    <w:rsid w:val="00487064"/>
    <w:rsid w:val="004878EC"/>
    <w:rsid w:val="0049775C"/>
    <w:rsid w:val="00497DC1"/>
    <w:rsid w:val="004A77A7"/>
    <w:rsid w:val="004C7CAB"/>
    <w:rsid w:val="004D73FE"/>
    <w:rsid w:val="004E0D2B"/>
    <w:rsid w:val="004F29B2"/>
    <w:rsid w:val="004F5771"/>
    <w:rsid w:val="004F5942"/>
    <w:rsid w:val="004F70E6"/>
    <w:rsid w:val="005247F2"/>
    <w:rsid w:val="00530381"/>
    <w:rsid w:val="00531B9E"/>
    <w:rsid w:val="0053503F"/>
    <w:rsid w:val="0053627D"/>
    <w:rsid w:val="0054053B"/>
    <w:rsid w:val="005426FE"/>
    <w:rsid w:val="00542CEE"/>
    <w:rsid w:val="00545DE7"/>
    <w:rsid w:val="0055219B"/>
    <w:rsid w:val="00560956"/>
    <w:rsid w:val="0056364E"/>
    <w:rsid w:val="005663D8"/>
    <w:rsid w:val="00577817"/>
    <w:rsid w:val="00582916"/>
    <w:rsid w:val="005925F3"/>
    <w:rsid w:val="005971F0"/>
    <w:rsid w:val="005975CC"/>
    <w:rsid w:val="005A53A4"/>
    <w:rsid w:val="005B037E"/>
    <w:rsid w:val="005B2F69"/>
    <w:rsid w:val="005C5AA0"/>
    <w:rsid w:val="005C656F"/>
    <w:rsid w:val="005C73EE"/>
    <w:rsid w:val="005E7D29"/>
    <w:rsid w:val="005F4BBD"/>
    <w:rsid w:val="00601F2B"/>
    <w:rsid w:val="00602ACF"/>
    <w:rsid w:val="00602C86"/>
    <w:rsid w:val="00603463"/>
    <w:rsid w:val="0061340A"/>
    <w:rsid w:val="00617EA2"/>
    <w:rsid w:val="006207F9"/>
    <w:rsid w:val="00622502"/>
    <w:rsid w:val="006228A1"/>
    <w:rsid w:val="006376F2"/>
    <w:rsid w:val="00637EB5"/>
    <w:rsid w:val="00645A2F"/>
    <w:rsid w:val="006537DF"/>
    <w:rsid w:val="0066237F"/>
    <w:rsid w:val="006632F3"/>
    <w:rsid w:val="00672106"/>
    <w:rsid w:val="00680F4A"/>
    <w:rsid w:val="00685755"/>
    <w:rsid w:val="00686DBB"/>
    <w:rsid w:val="00692D93"/>
    <w:rsid w:val="006976BC"/>
    <w:rsid w:val="006A4344"/>
    <w:rsid w:val="006A4D19"/>
    <w:rsid w:val="006A5C72"/>
    <w:rsid w:val="006A69B0"/>
    <w:rsid w:val="006B1D77"/>
    <w:rsid w:val="006B6FBB"/>
    <w:rsid w:val="006B75F9"/>
    <w:rsid w:val="006C1519"/>
    <w:rsid w:val="006D32B9"/>
    <w:rsid w:val="006D42BB"/>
    <w:rsid w:val="006D4F52"/>
    <w:rsid w:val="006E4788"/>
    <w:rsid w:val="006E60CD"/>
    <w:rsid w:val="006E6768"/>
    <w:rsid w:val="006E7363"/>
    <w:rsid w:val="006F40BF"/>
    <w:rsid w:val="006F4425"/>
    <w:rsid w:val="006F4D19"/>
    <w:rsid w:val="006F599A"/>
    <w:rsid w:val="0070284E"/>
    <w:rsid w:val="00705CF7"/>
    <w:rsid w:val="00710F77"/>
    <w:rsid w:val="007218C5"/>
    <w:rsid w:val="007229EF"/>
    <w:rsid w:val="00734806"/>
    <w:rsid w:val="00746A2C"/>
    <w:rsid w:val="00751643"/>
    <w:rsid w:val="00754088"/>
    <w:rsid w:val="0075669A"/>
    <w:rsid w:val="00757886"/>
    <w:rsid w:val="00760D63"/>
    <w:rsid w:val="007630DE"/>
    <w:rsid w:val="00765713"/>
    <w:rsid w:val="00770A25"/>
    <w:rsid w:val="00775604"/>
    <w:rsid w:val="0078057E"/>
    <w:rsid w:val="00782B2C"/>
    <w:rsid w:val="0078605A"/>
    <w:rsid w:val="0079145D"/>
    <w:rsid w:val="007A5065"/>
    <w:rsid w:val="007B00F0"/>
    <w:rsid w:val="007B0E9D"/>
    <w:rsid w:val="007B1221"/>
    <w:rsid w:val="007B2894"/>
    <w:rsid w:val="007B329D"/>
    <w:rsid w:val="007C2E7A"/>
    <w:rsid w:val="007C4BB8"/>
    <w:rsid w:val="007D2BFC"/>
    <w:rsid w:val="007E0F50"/>
    <w:rsid w:val="007E39F1"/>
    <w:rsid w:val="008020EF"/>
    <w:rsid w:val="00806C23"/>
    <w:rsid w:val="00810360"/>
    <w:rsid w:val="00811631"/>
    <w:rsid w:val="00815166"/>
    <w:rsid w:val="00820B81"/>
    <w:rsid w:val="00821E6E"/>
    <w:rsid w:val="00826000"/>
    <w:rsid w:val="00827149"/>
    <w:rsid w:val="00835450"/>
    <w:rsid w:val="00837DE9"/>
    <w:rsid w:val="008400E9"/>
    <w:rsid w:val="00844B91"/>
    <w:rsid w:val="0084749B"/>
    <w:rsid w:val="008506DF"/>
    <w:rsid w:val="0086542F"/>
    <w:rsid w:val="00883900"/>
    <w:rsid w:val="008873F5"/>
    <w:rsid w:val="008A3621"/>
    <w:rsid w:val="008A59FB"/>
    <w:rsid w:val="008A5E3B"/>
    <w:rsid w:val="008B2FF8"/>
    <w:rsid w:val="008B3960"/>
    <w:rsid w:val="008C364E"/>
    <w:rsid w:val="008C5C3C"/>
    <w:rsid w:val="008D0EAD"/>
    <w:rsid w:val="008D71CD"/>
    <w:rsid w:val="008E5592"/>
    <w:rsid w:val="008E5F1A"/>
    <w:rsid w:val="008F17B9"/>
    <w:rsid w:val="008F4FA3"/>
    <w:rsid w:val="008F7E72"/>
    <w:rsid w:val="0090096D"/>
    <w:rsid w:val="00901D96"/>
    <w:rsid w:val="009022C2"/>
    <w:rsid w:val="00904CDD"/>
    <w:rsid w:val="0090747F"/>
    <w:rsid w:val="00907481"/>
    <w:rsid w:val="0091188F"/>
    <w:rsid w:val="009126F8"/>
    <w:rsid w:val="00922630"/>
    <w:rsid w:val="0093503C"/>
    <w:rsid w:val="00940BF3"/>
    <w:rsid w:val="00950B65"/>
    <w:rsid w:val="0095445C"/>
    <w:rsid w:val="00955BBE"/>
    <w:rsid w:val="0096373B"/>
    <w:rsid w:val="009639D4"/>
    <w:rsid w:val="00973187"/>
    <w:rsid w:val="00973284"/>
    <w:rsid w:val="009759AD"/>
    <w:rsid w:val="009855AB"/>
    <w:rsid w:val="00994AB4"/>
    <w:rsid w:val="0099638E"/>
    <w:rsid w:val="009A4043"/>
    <w:rsid w:val="009B216F"/>
    <w:rsid w:val="009B28BC"/>
    <w:rsid w:val="009C7F94"/>
    <w:rsid w:val="009D65CE"/>
    <w:rsid w:val="009E1330"/>
    <w:rsid w:val="009E3D4C"/>
    <w:rsid w:val="009F7688"/>
    <w:rsid w:val="00A02F03"/>
    <w:rsid w:val="00A05074"/>
    <w:rsid w:val="00A1402C"/>
    <w:rsid w:val="00A217F9"/>
    <w:rsid w:val="00A2618E"/>
    <w:rsid w:val="00A41F9A"/>
    <w:rsid w:val="00A438A8"/>
    <w:rsid w:val="00A51772"/>
    <w:rsid w:val="00A52F60"/>
    <w:rsid w:val="00A7323B"/>
    <w:rsid w:val="00A77029"/>
    <w:rsid w:val="00A81E61"/>
    <w:rsid w:val="00A84FA0"/>
    <w:rsid w:val="00A87A59"/>
    <w:rsid w:val="00A926A9"/>
    <w:rsid w:val="00A96688"/>
    <w:rsid w:val="00AA104E"/>
    <w:rsid w:val="00AA4D08"/>
    <w:rsid w:val="00AA66DF"/>
    <w:rsid w:val="00AA762E"/>
    <w:rsid w:val="00AB5478"/>
    <w:rsid w:val="00AC1E52"/>
    <w:rsid w:val="00AC214E"/>
    <w:rsid w:val="00AC27E4"/>
    <w:rsid w:val="00AC4190"/>
    <w:rsid w:val="00AC48E9"/>
    <w:rsid w:val="00AC5E10"/>
    <w:rsid w:val="00AD13F2"/>
    <w:rsid w:val="00AD26B6"/>
    <w:rsid w:val="00AE0256"/>
    <w:rsid w:val="00AE2B80"/>
    <w:rsid w:val="00AE2C95"/>
    <w:rsid w:val="00AF4FD7"/>
    <w:rsid w:val="00B03255"/>
    <w:rsid w:val="00B1047A"/>
    <w:rsid w:val="00B111C7"/>
    <w:rsid w:val="00B1321E"/>
    <w:rsid w:val="00B1411A"/>
    <w:rsid w:val="00B15B5D"/>
    <w:rsid w:val="00B35FFD"/>
    <w:rsid w:val="00B36427"/>
    <w:rsid w:val="00B40759"/>
    <w:rsid w:val="00B413AE"/>
    <w:rsid w:val="00B41A72"/>
    <w:rsid w:val="00B46218"/>
    <w:rsid w:val="00B53AA0"/>
    <w:rsid w:val="00B66DD7"/>
    <w:rsid w:val="00B6761D"/>
    <w:rsid w:val="00B80FE7"/>
    <w:rsid w:val="00B815FA"/>
    <w:rsid w:val="00B84E45"/>
    <w:rsid w:val="00B8749D"/>
    <w:rsid w:val="00BA7777"/>
    <w:rsid w:val="00BB0BCF"/>
    <w:rsid w:val="00BB29B8"/>
    <w:rsid w:val="00BB3345"/>
    <w:rsid w:val="00BC1EE9"/>
    <w:rsid w:val="00BC3A25"/>
    <w:rsid w:val="00BC4BCB"/>
    <w:rsid w:val="00BD3338"/>
    <w:rsid w:val="00BE1EB6"/>
    <w:rsid w:val="00BE7624"/>
    <w:rsid w:val="00BF1FA9"/>
    <w:rsid w:val="00BF346E"/>
    <w:rsid w:val="00BF47A7"/>
    <w:rsid w:val="00BF51BD"/>
    <w:rsid w:val="00C0172D"/>
    <w:rsid w:val="00C05D8B"/>
    <w:rsid w:val="00C227AD"/>
    <w:rsid w:val="00C2298F"/>
    <w:rsid w:val="00C26C93"/>
    <w:rsid w:val="00C27CB4"/>
    <w:rsid w:val="00C304CA"/>
    <w:rsid w:val="00C3264A"/>
    <w:rsid w:val="00C5309B"/>
    <w:rsid w:val="00C535EC"/>
    <w:rsid w:val="00C61FA6"/>
    <w:rsid w:val="00C637FA"/>
    <w:rsid w:val="00C651DB"/>
    <w:rsid w:val="00C65C05"/>
    <w:rsid w:val="00C6608E"/>
    <w:rsid w:val="00C77A8A"/>
    <w:rsid w:val="00C77EBC"/>
    <w:rsid w:val="00C810CF"/>
    <w:rsid w:val="00C858E9"/>
    <w:rsid w:val="00C85B3B"/>
    <w:rsid w:val="00C9631B"/>
    <w:rsid w:val="00CA0850"/>
    <w:rsid w:val="00CB3E3C"/>
    <w:rsid w:val="00CB7BFC"/>
    <w:rsid w:val="00CE1F4D"/>
    <w:rsid w:val="00CE3A06"/>
    <w:rsid w:val="00CE7FDD"/>
    <w:rsid w:val="00CF0295"/>
    <w:rsid w:val="00CF08F5"/>
    <w:rsid w:val="00CF6517"/>
    <w:rsid w:val="00D00985"/>
    <w:rsid w:val="00D1668E"/>
    <w:rsid w:val="00D36A00"/>
    <w:rsid w:val="00D42AFD"/>
    <w:rsid w:val="00D43832"/>
    <w:rsid w:val="00D4544A"/>
    <w:rsid w:val="00D6085E"/>
    <w:rsid w:val="00D63BE1"/>
    <w:rsid w:val="00D64BF9"/>
    <w:rsid w:val="00D70E72"/>
    <w:rsid w:val="00D722FB"/>
    <w:rsid w:val="00D73CDA"/>
    <w:rsid w:val="00D76B7F"/>
    <w:rsid w:val="00D90EC7"/>
    <w:rsid w:val="00D916D9"/>
    <w:rsid w:val="00D9342D"/>
    <w:rsid w:val="00D96BE3"/>
    <w:rsid w:val="00DA1B8E"/>
    <w:rsid w:val="00DA4311"/>
    <w:rsid w:val="00DB4041"/>
    <w:rsid w:val="00DB79E3"/>
    <w:rsid w:val="00DC053B"/>
    <w:rsid w:val="00DC1313"/>
    <w:rsid w:val="00DC17DE"/>
    <w:rsid w:val="00DC3F6B"/>
    <w:rsid w:val="00DD2900"/>
    <w:rsid w:val="00DD6A99"/>
    <w:rsid w:val="00DE1624"/>
    <w:rsid w:val="00DE6231"/>
    <w:rsid w:val="00DF0069"/>
    <w:rsid w:val="00DF43B0"/>
    <w:rsid w:val="00E0751F"/>
    <w:rsid w:val="00E14763"/>
    <w:rsid w:val="00E15E48"/>
    <w:rsid w:val="00E2344E"/>
    <w:rsid w:val="00E31BC1"/>
    <w:rsid w:val="00E403C0"/>
    <w:rsid w:val="00E44927"/>
    <w:rsid w:val="00E5289E"/>
    <w:rsid w:val="00E57D7F"/>
    <w:rsid w:val="00E8468F"/>
    <w:rsid w:val="00E87877"/>
    <w:rsid w:val="00E94C8E"/>
    <w:rsid w:val="00E96036"/>
    <w:rsid w:val="00E96466"/>
    <w:rsid w:val="00EA284D"/>
    <w:rsid w:val="00EB0228"/>
    <w:rsid w:val="00EC3978"/>
    <w:rsid w:val="00EE4A65"/>
    <w:rsid w:val="00EE5463"/>
    <w:rsid w:val="00EF2677"/>
    <w:rsid w:val="00EF3722"/>
    <w:rsid w:val="00EF679F"/>
    <w:rsid w:val="00F04EB5"/>
    <w:rsid w:val="00F0508B"/>
    <w:rsid w:val="00F07BE6"/>
    <w:rsid w:val="00F20B1C"/>
    <w:rsid w:val="00F23AC3"/>
    <w:rsid w:val="00F301B8"/>
    <w:rsid w:val="00F301D2"/>
    <w:rsid w:val="00F41A11"/>
    <w:rsid w:val="00F41EAB"/>
    <w:rsid w:val="00F47242"/>
    <w:rsid w:val="00F51D93"/>
    <w:rsid w:val="00F5619D"/>
    <w:rsid w:val="00F634F4"/>
    <w:rsid w:val="00F80985"/>
    <w:rsid w:val="00F84B73"/>
    <w:rsid w:val="00F902B6"/>
    <w:rsid w:val="00FA0268"/>
    <w:rsid w:val="00FA27F7"/>
    <w:rsid w:val="00FA5AE1"/>
    <w:rsid w:val="00FB1AE7"/>
    <w:rsid w:val="00FB1DAC"/>
    <w:rsid w:val="00FB2FC4"/>
    <w:rsid w:val="00FB5F09"/>
    <w:rsid w:val="00FC533F"/>
    <w:rsid w:val="00FD3E98"/>
    <w:rsid w:val="00FD4720"/>
    <w:rsid w:val="00FD5EFB"/>
    <w:rsid w:val="00FD714D"/>
    <w:rsid w:val="00FE0014"/>
    <w:rsid w:val="00FE7FB9"/>
    <w:rsid w:val="00FF41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AA264"/>
  <w15:docId w15:val="{A80ED9A1-B3FB-4DE3-B67E-AB62730F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8E9"/>
  </w:style>
  <w:style w:type="paragraph" w:styleId="Heading1">
    <w:name w:val="heading 1"/>
    <w:basedOn w:val="Normal"/>
    <w:next w:val="Normal"/>
    <w:link w:val="Heading1Char"/>
    <w:uiPriority w:val="9"/>
    <w:qFormat/>
    <w:rsid w:val="00C858E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858E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858E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858E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858E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858E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858E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858E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858E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E9"/>
    <w:pPr>
      <w:ind w:left="720"/>
      <w:contextualSpacing/>
    </w:pPr>
  </w:style>
  <w:style w:type="paragraph" w:styleId="Header">
    <w:name w:val="header"/>
    <w:basedOn w:val="Normal"/>
    <w:link w:val="HeaderChar"/>
    <w:uiPriority w:val="99"/>
    <w:unhideWhenUsed/>
    <w:rsid w:val="00F41EAB"/>
    <w:pPr>
      <w:tabs>
        <w:tab w:val="center" w:pos="4680"/>
        <w:tab w:val="right" w:pos="9360"/>
      </w:tabs>
    </w:pPr>
  </w:style>
  <w:style w:type="character" w:customStyle="1" w:styleId="HeaderChar">
    <w:name w:val="Header Char"/>
    <w:basedOn w:val="DefaultParagraphFont"/>
    <w:link w:val="Header"/>
    <w:uiPriority w:val="99"/>
    <w:rsid w:val="00F41EAB"/>
  </w:style>
  <w:style w:type="paragraph" w:styleId="Footer">
    <w:name w:val="footer"/>
    <w:basedOn w:val="Normal"/>
    <w:link w:val="FooterChar"/>
    <w:uiPriority w:val="99"/>
    <w:unhideWhenUsed/>
    <w:rsid w:val="00F41EAB"/>
    <w:pPr>
      <w:tabs>
        <w:tab w:val="center" w:pos="4680"/>
        <w:tab w:val="right" w:pos="9360"/>
      </w:tabs>
    </w:pPr>
  </w:style>
  <w:style w:type="character" w:customStyle="1" w:styleId="FooterChar">
    <w:name w:val="Footer Char"/>
    <w:basedOn w:val="DefaultParagraphFont"/>
    <w:link w:val="Footer"/>
    <w:uiPriority w:val="99"/>
    <w:rsid w:val="00F41EAB"/>
  </w:style>
  <w:style w:type="paragraph" w:styleId="BalloonText">
    <w:name w:val="Balloon Text"/>
    <w:basedOn w:val="Normal"/>
    <w:link w:val="BalloonTextChar"/>
    <w:uiPriority w:val="99"/>
    <w:semiHidden/>
    <w:unhideWhenUsed/>
    <w:rsid w:val="00F41EAB"/>
    <w:rPr>
      <w:rFonts w:ascii="Tahoma" w:hAnsi="Tahoma" w:cs="Tahoma"/>
      <w:sz w:val="16"/>
      <w:szCs w:val="16"/>
    </w:rPr>
  </w:style>
  <w:style w:type="character" w:customStyle="1" w:styleId="BalloonTextChar">
    <w:name w:val="Balloon Text Char"/>
    <w:basedOn w:val="DefaultParagraphFont"/>
    <w:link w:val="BalloonText"/>
    <w:uiPriority w:val="99"/>
    <w:semiHidden/>
    <w:rsid w:val="00F41EAB"/>
    <w:rPr>
      <w:rFonts w:ascii="Tahoma" w:hAnsi="Tahoma" w:cs="Tahoma"/>
      <w:sz w:val="16"/>
      <w:szCs w:val="16"/>
    </w:rPr>
  </w:style>
  <w:style w:type="character" w:customStyle="1" w:styleId="Heading1Char">
    <w:name w:val="Heading 1 Char"/>
    <w:basedOn w:val="DefaultParagraphFont"/>
    <w:link w:val="Heading1"/>
    <w:uiPriority w:val="9"/>
    <w:rsid w:val="00C858E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858E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858E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858E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858E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858E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858E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858E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858E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858E9"/>
    <w:rPr>
      <w:b/>
      <w:bCs/>
      <w:sz w:val="18"/>
      <w:szCs w:val="18"/>
    </w:rPr>
  </w:style>
  <w:style w:type="paragraph" w:styleId="Title">
    <w:name w:val="Title"/>
    <w:basedOn w:val="Normal"/>
    <w:next w:val="Normal"/>
    <w:link w:val="TitleChar"/>
    <w:uiPriority w:val="10"/>
    <w:qFormat/>
    <w:rsid w:val="00C858E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858E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858E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858E9"/>
    <w:rPr>
      <w:i/>
      <w:iCs/>
      <w:sz w:val="24"/>
      <w:szCs w:val="24"/>
    </w:rPr>
  </w:style>
  <w:style w:type="character" w:styleId="Strong">
    <w:name w:val="Strong"/>
    <w:basedOn w:val="DefaultParagraphFont"/>
    <w:uiPriority w:val="22"/>
    <w:qFormat/>
    <w:rsid w:val="00C858E9"/>
    <w:rPr>
      <w:b/>
      <w:bCs/>
      <w:spacing w:val="0"/>
    </w:rPr>
  </w:style>
  <w:style w:type="character" w:styleId="Emphasis">
    <w:name w:val="Emphasis"/>
    <w:uiPriority w:val="20"/>
    <w:qFormat/>
    <w:rsid w:val="00C858E9"/>
    <w:rPr>
      <w:b/>
      <w:bCs/>
      <w:i/>
      <w:iCs/>
      <w:color w:val="5A5A5A" w:themeColor="text1" w:themeTint="A5"/>
    </w:rPr>
  </w:style>
  <w:style w:type="paragraph" w:styleId="NoSpacing">
    <w:name w:val="No Spacing"/>
    <w:basedOn w:val="Normal"/>
    <w:link w:val="NoSpacingChar"/>
    <w:uiPriority w:val="1"/>
    <w:qFormat/>
    <w:rsid w:val="00C858E9"/>
    <w:pPr>
      <w:ind w:firstLine="0"/>
    </w:pPr>
  </w:style>
  <w:style w:type="character" w:customStyle="1" w:styleId="NoSpacingChar">
    <w:name w:val="No Spacing Char"/>
    <w:basedOn w:val="DefaultParagraphFont"/>
    <w:link w:val="NoSpacing"/>
    <w:uiPriority w:val="1"/>
    <w:rsid w:val="00C858E9"/>
  </w:style>
  <w:style w:type="paragraph" w:styleId="Quote">
    <w:name w:val="Quote"/>
    <w:basedOn w:val="Normal"/>
    <w:next w:val="Normal"/>
    <w:link w:val="QuoteChar"/>
    <w:uiPriority w:val="29"/>
    <w:qFormat/>
    <w:rsid w:val="00C858E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858E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858E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858E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858E9"/>
    <w:rPr>
      <w:i/>
      <w:iCs/>
      <w:color w:val="5A5A5A" w:themeColor="text1" w:themeTint="A5"/>
    </w:rPr>
  </w:style>
  <w:style w:type="character" w:styleId="IntenseEmphasis">
    <w:name w:val="Intense Emphasis"/>
    <w:uiPriority w:val="21"/>
    <w:qFormat/>
    <w:rsid w:val="00C858E9"/>
    <w:rPr>
      <w:b/>
      <w:bCs/>
      <w:i/>
      <w:iCs/>
      <w:color w:val="4F81BD" w:themeColor="accent1"/>
      <w:sz w:val="22"/>
      <w:szCs w:val="22"/>
    </w:rPr>
  </w:style>
  <w:style w:type="character" w:styleId="SubtleReference">
    <w:name w:val="Subtle Reference"/>
    <w:uiPriority w:val="31"/>
    <w:qFormat/>
    <w:rsid w:val="00C858E9"/>
    <w:rPr>
      <w:color w:val="auto"/>
      <w:u w:val="single" w:color="9BBB59" w:themeColor="accent3"/>
    </w:rPr>
  </w:style>
  <w:style w:type="character" w:styleId="IntenseReference">
    <w:name w:val="Intense Reference"/>
    <w:basedOn w:val="DefaultParagraphFont"/>
    <w:uiPriority w:val="32"/>
    <w:qFormat/>
    <w:rsid w:val="00C858E9"/>
    <w:rPr>
      <w:b/>
      <w:bCs/>
      <w:color w:val="76923C" w:themeColor="accent3" w:themeShade="BF"/>
      <w:u w:val="single" w:color="9BBB59" w:themeColor="accent3"/>
    </w:rPr>
  </w:style>
  <w:style w:type="character" w:styleId="BookTitle">
    <w:name w:val="Book Title"/>
    <w:basedOn w:val="DefaultParagraphFont"/>
    <w:uiPriority w:val="33"/>
    <w:qFormat/>
    <w:rsid w:val="00C858E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858E9"/>
    <w:pPr>
      <w:outlineLvl w:val="9"/>
    </w:pPr>
    <w:rPr>
      <w:lang w:bidi="en-US"/>
    </w:rPr>
  </w:style>
  <w:style w:type="table" w:styleId="TableGrid">
    <w:name w:val="Table Grid"/>
    <w:basedOn w:val="TableNormal"/>
    <w:uiPriority w:val="59"/>
    <w:rsid w:val="00C8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E01"/>
    <w:rPr>
      <w:sz w:val="16"/>
      <w:szCs w:val="16"/>
    </w:rPr>
  </w:style>
  <w:style w:type="paragraph" w:styleId="CommentText">
    <w:name w:val="annotation text"/>
    <w:basedOn w:val="Normal"/>
    <w:link w:val="CommentTextChar"/>
    <w:uiPriority w:val="99"/>
    <w:unhideWhenUsed/>
    <w:rsid w:val="001E7E01"/>
    <w:rPr>
      <w:sz w:val="20"/>
      <w:szCs w:val="20"/>
    </w:rPr>
  </w:style>
  <w:style w:type="character" w:customStyle="1" w:styleId="CommentTextChar">
    <w:name w:val="Comment Text Char"/>
    <w:basedOn w:val="DefaultParagraphFont"/>
    <w:link w:val="CommentText"/>
    <w:uiPriority w:val="99"/>
    <w:rsid w:val="001E7E01"/>
    <w:rPr>
      <w:sz w:val="20"/>
      <w:szCs w:val="20"/>
    </w:rPr>
  </w:style>
  <w:style w:type="paragraph" w:styleId="CommentSubject">
    <w:name w:val="annotation subject"/>
    <w:basedOn w:val="CommentText"/>
    <w:next w:val="CommentText"/>
    <w:link w:val="CommentSubjectChar"/>
    <w:uiPriority w:val="99"/>
    <w:semiHidden/>
    <w:unhideWhenUsed/>
    <w:rsid w:val="001E7E01"/>
    <w:rPr>
      <w:b/>
      <w:bCs/>
    </w:rPr>
  </w:style>
  <w:style w:type="character" w:customStyle="1" w:styleId="CommentSubjectChar">
    <w:name w:val="Comment Subject Char"/>
    <w:basedOn w:val="CommentTextChar"/>
    <w:link w:val="CommentSubject"/>
    <w:uiPriority w:val="99"/>
    <w:semiHidden/>
    <w:rsid w:val="001E7E01"/>
    <w:rPr>
      <w:b/>
      <w:bCs/>
      <w:sz w:val="20"/>
      <w:szCs w:val="20"/>
    </w:rPr>
  </w:style>
  <w:style w:type="paragraph" w:styleId="FootnoteText">
    <w:name w:val="footnote text"/>
    <w:basedOn w:val="Normal"/>
    <w:link w:val="FootnoteTextChar"/>
    <w:semiHidden/>
    <w:rsid w:val="003B58DE"/>
    <w:pPr>
      <w:ind w:firstLin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B58D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8468F"/>
    <w:rPr>
      <w:vertAlign w:val="superscript"/>
    </w:rPr>
  </w:style>
  <w:style w:type="character" w:styleId="Hyperlink">
    <w:name w:val="Hyperlink"/>
    <w:basedOn w:val="DefaultParagraphFont"/>
    <w:uiPriority w:val="99"/>
    <w:unhideWhenUsed/>
    <w:rsid w:val="00A14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168">
      <w:bodyDiv w:val="1"/>
      <w:marLeft w:val="0"/>
      <w:marRight w:val="0"/>
      <w:marTop w:val="0"/>
      <w:marBottom w:val="0"/>
      <w:divBdr>
        <w:top w:val="none" w:sz="0" w:space="0" w:color="auto"/>
        <w:left w:val="none" w:sz="0" w:space="0" w:color="auto"/>
        <w:bottom w:val="none" w:sz="0" w:space="0" w:color="auto"/>
        <w:right w:val="none" w:sz="0" w:space="0" w:color="auto"/>
      </w:divBdr>
      <w:divsChild>
        <w:div w:id="1026910455">
          <w:marLeft w:val="0"/>
          <w:marRight w:val="0"/>
          <w:marTop w:val="0"/>
          <w:marBottom w:val="0"/>
          <w:divBdr>
            <w:top w:val="none" w:sz="0" w:space="0" w:color="auto"/>
            <w:left w:val="none" w:sz="0" w:space="0" w:color="auto"/>
            <w:bottom w:val="none" w:sz="0" w:space="0" w:color="auto"/>
            <w:right w:val="none" w:sz="0" w:space="0" w:color="auto"/>
          </w:divBdr>
        </w:div>
        <w:div w:id="2034189270">
          <w:marLeft w:val="0"/>
          <w:marRight w:val="0"/>
          <w:marTop w:val="0"/>
          <w:marBottom w:val="0"/>
          <w:divBdr>
            <w:top w:val="none" w:sz="0" w:space="0" w:color="auto"/>
            <w:left w:val="none" w:sz="0" w:space="0" w:color="auto"/>
            <w:bottom w:val="none" w:sz="0" w:space="0" w:color="auto"/>
            <w:right w:val="none" w:sz="0" w:space="0" w:color="auto"/>
          </w:divBdr>
        </w:div>
        <w:div w:id="2016808282">
          <w:marLeft w:val="0"/>
          <w:marRight w:val="0"/>
          <w:marTop w:val="0"/>
          <w:marBottom w:val="0"/>
          <w:divBdr>
            <w:top w:val="none" w:sz="0" w:space="0" w:color="auto"/>
            <w:left w:val="none" w:sz="0" w:space="0" w:color="auto"/>
            <w:bottom w:val="none" w:sz="0" w:space="0" w:color="auto"/>
            <w:right w:val="none" w:sz="0" w:space="0" w:color="auto"/>
          </w:divBdr>
        </w:div>
        <w:div w:id="1154446151">
          <w:marLeft w:val="0"/>
          <w:marRight w:val="0"/>
          <w:marTop w:val="0"/>
          <w:marBottom w:val="0"/>
          <w:divBdr>
            <w:top w:val="none" w:sz="0" w:space="0" w:color="auto"/>
            <w:left w:val="none" w:sz="0" w:space="0" w:color="auto"/>
            <w:bottom w:val="none" w:sz="0" w:space="0" w:color="auto"/>
            <w:right w:val="none" w:sz="0" w:space="0" w:color="auto"/>
          </w:divBdr>
        </w:div>
        <w:div w:id="167912803">
          <w:marLeft w:val="0"/>
          <w:marRight w:val="0"/>
          <w:marTop w:val="0"/>
          <w:marBottom w:val="0"/>
          <w:divBdr>
            <w:top w:val="none" w:sz="0" w:space="0" w:color="auto"/>
            <w:left w:val="none" w:sz="0" w:space="0" w:color="auto"/>
            <w:bottom w:val="none" w:sz="0" w:space="0" w:color="auto"/>
            <w:right w:val="none" w:sz="0" w:space="0" w:color="auto"/>
          </w:divBdr>
        </w:div>
        <w:div w:id="1296906562">
          <w:marLeft w:val="0"/>
          <w:marRight w:val="0"/>
          <w:marTop w:val="0"/>
          <w:marBottom w:val="0"/>
          <w:divBdr>
            <w:top w:val="none" w:sz="0" w:space="0" w:color="auto"/>
            <w:left w:val="none" w:sz="0" w:space="0" w:color="auto"/>
            <w:bottom w:val="none" w:sz="0" w:space="0" w:color="auto"/>
            <w:right w:val="none" w:sz="0" w:space="0" w:color="auto"/>
          </w:divBdr>
        </w:div>
        <w:div w:id="529034086">
          <w:marLeft w:val="0"/>
          <w:marRight w:val="0"/>
          <w:marTop w:val="0"/>
          <w:marBottom w:val="0"/>
          <w:divBdr>
            <w:top w:val="none" w:sz="0" w:space="0" w:color="auto"/>
            <w:left w:val="none" w:sz="0" w:space="0" w:color="auto"/>
            <w:bottom w:val="none" w:sz="0" w:space="0" w:color="auto"/>
            <w:right w:val="none" w:sz="0" w:space="0" w:color="auto"/>
          </w:divBdr>
        </w:div>
        <w:div w:id="1645967942">
          <w:marLeft w:val="0"/>
          <w:marRight w:val="0"/>
          <w:marTop w:val="0"/>
          <w:marBottom w:val="0"/>
          <w:divBdr>
            <w:top w:val="none" w:sz="0" w:space="0" w:color="auto"/>
            <w:left w:val="none" w:sz="0" w:space="0" w:color="auto"/>
            <w:bottom w:val="none" w:sz="0" w:space="0" w:color="auto"/>
            <w:right w:val="none" w:sz="0" w:space="0" w:color="auto"/>
          </w:divBdr>
        </w:div>
        <w:div w:id="1886718419">
          <w:marLeft w:val="0"/>
          <w:marRight w:val="0"/>
          <w:marTop w:val="0"/>
          <w:marBottom w:val="0"/>
          <w:divBdr>
            <w:top w:val="none" w:sz="0" w:space="0" w:color="auto"/>
            <w:left w:val="none" w:sz="0" w:space="0" w:color="auto"/>
            <w:bottom w:val="none" w:sz="0" w:space="0" w:color="auto"/>
            <w:right w:val="none" w:sz="0" w:space="0" w:color="auto"/>
          </w:divBdr>
        </w:div>
        <w:div w:id="1979872711">
          <w:marLeft w:val="0"/>
          <w:marRight w:val="0"/>
          <w:marTop w:val="0"/>
          <w:marBottom w:val="0"/>
          <w:divBdr>
            <w:top w:val="none" w:sz="0" w:space="0" w:color="auto"/>
            <w:left w:val="none" w:sz="0" w:space="0" w:color="auto"/>
            <w:bottom w:val="none" w:sz="0" w:space="0" w:color="auto"/>
            <w:right w:val="none" w:sz="0" w:space="0" w:color="auto"/>
          </w:divBdr>
        </w:div>
      </w:divsChild>
    </w:div>
    <w:div w:id="146556701">
      <w:bodyDiv w:val="1"/>
      <w:marLeft w:val="0"/>
      <w:marRight w:val="0"/>
      <w:marTop w:val="0"/>
      <w:marBottom w:val="0"/>
      <w:divBdr>
        <w:top w:val="none" w:sz="0" w:space="0" w:color="auto"/>
        <w:left w:val="none" w:sz="0" w:space="0" w:color="auto"/>
        <w:bottom w:val="none" w:sz="0" w:space="0" w:color="auto"/>
        <w:right w:val="none" w:sz="0" w:space="0" w:color="auto"/>
      </w:divBdr>
      <w:divsChild>
        <w:div w:id="349380011">
          <w:marLeft w:val="0"/>
          <w:marRight w:val="0"/>
          <w:marTop w:val="0"/>
          <w:marBottom w:val="0"/>
          <w:divBdr>
            <w:top w:val="none" w:sz="0" w:space="0" w:color="auto"/>
            <w:left w:val="none" w:sz="0" w:space="0" w:color="auto"/>
            <w:bottom w:val="none" w:sz="0" w:space="0" w:color="auto"/>
            <w:right w:val="none" w:sz="0" w:space="0" w:color="auto"/>
          </w:divBdr>
        </w:div>
        <w:div w:id="1106002351">
          <w:marLeft w:val="0"/>
          <w:marRight w:val="0"/>
          <w:marTop w:val="0"/>
          <w:marBottom w:val="0"/>
          <w:divBdr>
            <w:top w:val="none" w:sz="0" w:space="0" w:color="auto"/>
            <w:left w:val="none" w:sz="0" w:space="0" w:color="auto"/>
            <w:bottom w:val="none" w:sz="0" w:space="0" w:color="auto"/>
            <w:right w:val="none" w:sz="0" w:space="0" w:color="auto"/>
          </w:divBdr>
        </w:div>
        <w:div w:id="1704285855">
          <w:marLeft w:val="0"/>
          <w:marRight w:val="0"/>
          <w:marTop w:val="0"/>
          <w:marBottom w:val="0"/>
          <w:divBdr>
            <w:top w:val="none" w:sz="0" w:space="0" w:color="auto"/>
            <w:left w:val="none" w:sz="0" w:space="0" w:color="auto"/>
            <w:bottom w:val="none" w:sz="0" w:space="0" w:color="auto"/>
            <w:right w:val="none" w:sz="0" w:space="0" w:color="auto"/>
          </w:divBdr>
        </w:div>
        <w:div w:id="772438860">
          <w:marLeft w:val="0"/>
          <w:marRight w:val="0"/>
          <w:marTop w:val="0"/>
          <w:marBottom w:val="0"/>
          <w:divBdr>
            <w:top w:val="none" w:sz="0" w:space="0" w:color="auto"/>
            <w:left w:val="none" w:sz="0" w:space="0" w:color="auto"/>
            <w:bottom w:val="none" w:sz="0" w:space="0" w:color="auto"/>
            <w:right w:val="none" w:sz="0" w:space="0" w:color="auto"/>
          </w:divBdr>
        </w:div>
        <w:div w:id="835612393">
          <w:marLeft w:val="0"/>
          <w:marRight w:val="0"/>
          <w:marTop w:val="0"/>
          <w:marBottom w:val="0"/>
          <w:divBdr>
            <w:top w:val="none" w:sz="0" w:space="0" w:color="auto"/>
            <w:left w:val="none" w:sz="0" w:space="0" w:color="auto"/>
            <w:bottom w:val="none" w:sz="0" w:space="0" w:color="auto"/>
            <w:right w:val="none" w:sz="0" w:space="0" w:color="auto"/>
          </w:divBdr>
        </w:div>
        <w:div w:id="350028887">
          <w:marLeft w:val="0"/>
          <w:marRight w:val="0"/>
          <w:marTop w:val="0"/>
          <w:marBottom w:val="0"/>
          <w:divBdr>
            <w:top w:val="none" w:sz="0" w:space="0" w:color="auto"/>
            <w:left w:val="none" w:sz="0" w:space="0" w:color="auto"/>
            <w:bottom w:val="none" w:sz="0" w:space="0" w:color="auto"/>
            <w:right w:val="none" w:sz="0" w:space="0" w:color="auto"/>
          </w:divBdr>
        </w:div>
      </w:divsChild>
    </w:div>
    <w:div w:id="580607462">
      <w:bodyDiv w:val="1"/>
      <w:marLeft w:val="0"/>
      <w:marRight w:val="0"/>
      <w:marTop w:val="0"/>
      <w:marBottom w:val="0"/>
      <w:divBdr>
        <w:top w:val="none" w:sz="0" w:space="0" w:color="auto"/>
        <w:left w:val="none" w:sz="0" w:space="0" w:color="auto"/>
        <w:bottom w:val="none" w:sz="0" w:space="0" w:color="auto"/>
        <w:right w:val="none" w:sz="0" w:space="0" w:color="auto"/>
      </w:divBdr>
      <w:divsChild>
        <w:div w:id="1991211742">
          <w:marLeft w:val="0"/>
          <w:marRight w:val="0"/>
          <w:marTop w:val="0"/>
          <w:marBottom w:val="0"/>
          <w:divBdr>
            <w:top w:val="none" w:sz="0" w:space="0" w:color="auto"/>
            <w:left w:val="none" w:sz="0" w:space="0" w:color="auto"/>
            <w:bottom w:val="none" w:sz="0" w:space="0" w:color="auto"/>
            <w:right w:val="none" w:sz="0" w:space="0" w:color="auto"/>
          </w:divBdr>
        </w:div>
        <w:div w:id="947349987">
          <w:marLeft w:val="0"/>
          <w:marRight w:val="0"/>
          <w:marTop w:val="0"/>
          <w:marBottom w:val="0"/>
          <w:divBdr>
            <w:top w:val="none" w:sz="0" w:space="0" w:color="auto"/>
            <w:left w:val="none" w:sz="0" w:space="0" w:color="auto"/>
            <w:bottom w:val="none" w:sz="0" w:space="0" w:color="auto"/>
            <w:right w:val="none" w:sz="0" w:space="0" w:color="auto"/>
          </w:divBdr>
        </w:div>
        <w:div w:id="1102722154">
          <w:marLeft w:val="0"/>
          <w:marRight w:val="0"/>
          <w:marTop w:val="0"/>
          <w:marBottom w:val="0"/>
          <w:divBdr>
            <w:top w:val="none" w:sz="0" w:space="0" w:color="auto"/>
            <w:left w:val="none" w:sz="0" w:space="0" w:color="auto"/>
            <w:bottom w:val="none" w:sz="0" w:space="0" w:color="auto"/>
            <w:right w:val="none" w:sz="0" w:space="0" w:color="auto"/>
          </w:divBdr>
        </w:div>
        <w:div w:id="1670870143">
          <w:marLeft w:val="0"/>
          <w:marRight w:val="0"/>
          <w:marTop w:val="0"/>
          <w:marBottom w:val="0"/>
          <w:divBdr>
            <w:top w:val="none" w:sz="0" w:space="0" w:color="auto"/>
            <w:left w:val="none" w:sz="0" w:space="0" w:color="auto"/>
            <w:bottom w:val="none" w:sz="0" w:space="0" w:color="auto"/>
            <w:right w:val="none" w:sz="0" w:space="0" w:color="auto"/>
          </w:divBdr>
        </w:div>
        <w:div w:id="1367637618">
          <w:marLeft w:val="0"/>
          <w:marRight w:val="0"/>
          <w:marTop w:val="0"/>
          <w:marBottom w:val="0"/>
          <w:divBdr>
            <w:top w:val="none" w:sz="0" w:space="0" w:color="auto"/>
            <w:left w:val="none" w:sz="0" w:space="0" w:color="auto"/>
            <w:bottom w:val="none" w:sz="0" w:space="0" w:color="auto"/>
            <w:right w:val="none" w:sz="0" w:space="0" w:color="auto"/>
          </w:divBdr>
        </w:div>
        <w:div w:id="397826374">
          <w:marLeft w:val="0"/>
          <w:marRight w:val="0"/>
          <w:marTop w:val="0"/>
          <w:marBottom w:val="0"/>
          <w:divBdr>
            <w:top w:val="none" w:sz="0" w:space="0" w:color="auto"/>
            <w:left w:val="none" w:sz="0" w:space="0" w:color="auto"/>
            <w:bottom w:val="none" w:sz="0" w:space="0" w:color="auto"/>
            <w:right w:val="none" w:sz="0" w:space="0" w:color="auto"/>
          </w:divBdr>
        </w:div>
        <w:div w:id="1825312670">
          <w:marLeft w:val="0"/>
          <w:marRight w:val="0"/>
          <w:marTop w:val="0"/>
          <w:marBottom w:val="0"/>
          <w:divBdr>
            <w:top w:val="none" w:sz="0" w:space="0" w:color="auto"/>
            <w:left w:val="none" w:sz="0" w:space="0" w:color="auto"/>
            <w:bottom w:val="none" w:sz="0" w:space="0" w:color="auto"/>
            <w:right w:val="none" w:sz="0" w:space="0" w:color="auto"/>
          </w:divBdr>
        </w:div>
        <w:div w:id="551310577">
          <w:marLeft w:val="0"/>
          <w:marRight w:val="0"/>
          <w:marTop w:val="0"/>
          <w:marBottom w:val="0"/>
          <w:divBdr>
            <w:top w:val="none" w:sz="0" w:space="0" w:color="auto"/>
            <w:left w:val="none" w:sz="0" w:space="0" w:color="auto"/>
            <w:bottom w:val="none" w:sz="0" w:space="0" w:color="auto"/>
            <w:right w:val="none" w:sz="0" w:space="0" w:color="auto"/>
          </w:divBdr>
        </w:div>
        <w:div w:id="974680009">
          <w:marLeft w:val="0"/>
          <w:marRight w:val="0"/>
          <w:marTop w:val="0"/>
          <w:marBottom w:val="0"/>
          <w:divBdr>
            <w:top w:val="none" w:sz="0" w:space="0" w:color="auto"/>
            <w:left w:val="none" w:sz="0" w:space="0" w:color="auto"/>
            <w:bottom w:val="none" w:sz="0" w:space="0" w:color="auto"/>
            <w:right w:val="none" w:sz="0" w:space="0" w:color="auto"/>
          </w:divBdr>
        </w:div>
      </w:divsChild>
    </w:div>
    <w:div w:id="581381172">
      <w:bodyDiv w:val="1"/>
      <w:marLeft w:val="0"/>
      <w:marRight w:val="0"/>
      <w:marTop w:val="0"/>
      <w:marBottom w:val="0"/>
      <w:divBdr>
        <w:top w:val="none" w:sz="0" w:space="0" w:color="auto"/>
        <w:left w:val="none" w:sz="0" w:space="0" w:color="auto"/>
        <w:bottom w:val="none" w:sz="0" w:space="0" w:color="auto"/>
        <w:right w:val="none" w:sz="0" w:space="0" w:color="auto"/>
      </w:divBdr>
      <w:divsChild>
        <w:div w:id="2010063229">
          <w:marLeft w:val="0"/>
          <w:marRight w:val="0"/>
          <w:marTop w:val="0"/>
          <w:marBottom w:val="0"/>
          <w:divBdr>
            <w:top w:val="none" w:sz="0" w:space="0" w:color="auto"/>
            <w:left w:val="none" w:sz="0" w:space="0" w:color="auto"/>
            <w:bottom w:val="none" w:sz="0" w:space="0" w:color="auto"/>
            <w:right w:val="none" w:sz="0" w:space="0" w:color="auto"/>
          </w:divBdr>
        </w:div>
        <w:div w:id="1548570151">
          <w:marLeft w:val="0"/>
          <w:marRight w:val="0"/>
          <w:marTop w:val="0"/>
          <w:marBottom w:val="0"/>
          <w:divBdr>
            <w:top w:val="none" w:sz="0" w:space="0" w:color="auto"/>
            <w:left w:val="none" w:sz="0" w:space="0" w:color="auto"/>
            <w:bottom w:val="none" w:sz="0" w:space="0" w:color="auto"/>
            <w:right w:val="none" w:sz="0" w:space="0" w:color="auto"/>
          </w:divBdr>
        </w:div>
        <w:div w:id="1186676454">
          <w:marLeft w:val="0"/>
          <w:marRight w:val="0"/>
          <w:marTop w:val="0"/>
          <w:marBottom w:val="0"/>
          <w:divBdr>
            <w:top w:val="none" w:sz="0" w:space="0" w:color="auto"/>
            <w:left w:val="none" w:sz="0" w:space="0" w:color="auto"/>
            <w:bottom w:val="none" w:sz="0" w:space="0" w:color="auto"/>
            <w:right w:val="none" w:sz="0" w:space="0" w:color="auto"/>
          </w:divBdr>
        </w:div>
        <w:div w:id="198010345">
          <w:marLeft w:val="0"/>
          <w:marRight w:val="0"/>
          <w:marTop w:val="0"/>
          <w:marBottom w:val="0"/>
          <w:divBdr>
            <w:top w:val="none" w:sz="0" w:space="0" w:color="auto"/>
            <w:left w:val="none" w:sz="0" w:space="0" w:color="auto"/>
            <w:bottom w:val="none" w:sz="0" w:space="0" w:color="auto"/>
            <w:right w:val="none" w:sz="0" w:space="0" w:color="auto"/>
          </w:divBdr>
        </w:div>
        <w:div w:id="951933462">
          <w:marLeft w:val="0"/>
          <w:marRight w:val="0"/>
          <w:marTop w:val="0"/>
          <w:marBottom w:val="0"/>
          <w:divBdr>
            <w:top w:val="none" w:sz="0" w:space="0" w:color="auto"/>
            <w:left w:val="none" w:sz="0" w:space="0" w:color="auto"/>
            <w:bottom w:val="none" w:sz="0" w:space="0" w:color="auto"/>
            <w:right w:val="none" w:sz="0" w:space="0" w:color="auto"/>
          </w:divBdr>
        </w:div>
      </w:divsChild>
    </w:div>
    <w:div w:id="1186409923">
      <w:bodyDiv w:val="1"/>
      <w:marLeft w:val="0"/>
      <w:marRight w:val="0"/>
      <w:marTop w:val="0"/>
      <w:marBottom w:val="0"/>
      <w:divBdr>
        <w:top w:val="none" w:sz="0" w:space="0" w:color="auto"/>
        <w:left w:val="none" w:sz="0" w:space="0" w:color="auto"/>
        <w:bottom w:val="none" w:sz="0" w:space="0" w:color="auto"/>
        <w:right w:val="none" w:sz="0" w:space="0" w:color="auto"/>
      </w:divBdr>
      <w:divsChild>
        <w:div w:id="1501848850">
          <w:marLeft w:val="0"/>
          <w:marRight w:val="0"/>
          <w:marTop w:val="0"/>
          <w:marBottom w:val="0"/>
          <w:divBdr>
            <w:top w:val="none" w:sz="0" w:space="0" w:color="auto"/>
            <w:left w:val="none" w:sz="0" w:space="0" w:color="auto"/>
            <w:bottom w:val="none" w:sz="0" w:space="0" w:color="auto"/>
            <w:right w:val="none" w:sz="0" w:space="0" w:color="auto"/>
          </w:divBdr>
        </w:div>
        <w:div w:id="383329811">
          <w:marLeft w:val="0"/>
          <w:marRight w:val="0"/>
          <w:marTop w:val="0"/>
          <w:marBottom w:val="0"/>
          <w:divBdr>
            <w:top w:val="none" w:sz="0" w:space="0" w:color="auto"/>
            <w:left w:val="none" w:sz="0" w:space="0" w:color="auto"/>
            <w:bottom w:val="none" w:sz="0" w:space="0" w:color="auto"/>
            <w:right w:val="none" w:sz="0" w:space="0" w:color="auto"/>
          </w:divBdr>
        </w:div>
        <w:div w:id="1066873926">
          <w:marLeft w:val="0"/>
          <w:marRight w:val="0"/>
          <w:marTop w:val="0"/>
          <w:marBottom w:val="0"/>
          <w:divBdr>
            <w:top w:val="none" w:sz="0" w:space="0" w:color="auto"/>
            <w:left w:val="none" w:sz="0" w:space="0" w:color="auto"/>
            <w:bottom w:val="none" w:sz="0" w:space="0" w:color="auto"/>
            <w:right w:val="none" w:sz="0" w:space="0" w:color="auto"/>
          </w:divBdr>
        </w:div>
        <w:div w:id="1929852241">
          <w:marLeft w:val="0"/>
          <w:marRight w:val="0"/>
          <w:marTop w:val="0"/>
          <w:marBottom w:val="0"/>
          <w:divBdr>
            <w:top w:val="none" w:sz="0" w:space="0" w:color="auto"/>
            <w:left w:val="none" w:sz="0" w:space="0" w:color="auto"/>
            <w:bottom w:val="none" w:sz="0" w:space="0" w:color="auto"/>
            <w:right w:val="none" w:sz="0" w:space="0" w:color="auto"/>
          </w:divBdr>
        </w:div>
        <w:div w:id="2115899652">
          <w:marLeft w:val="0"/>
          <w:marRight w:val="0"/>
          <w:marTop w:val="0"/>
          <w:marBottom w:val="0"/>
          <w:divBdr>
            <w:top w:val="none" w:sz="0" w:space="0" w:color="auto"/>
            <w:left w:val="none" w:sz="0" w:space="0" w:color="auto"/>
            <w:bottom w:val="none" w:sz="0" w:space="0" w:color="auto"/>
            <w:right w:val="none" w:sz="0" w:space="0" w:color="auto"/>
          </w:divBdr>
        </w:div>
      </w:divsChild>
    </w:div>
    <w:div w:id="151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2891345">
          <w:marLeft w:val="0"/>
          <w:marRight w:val="0"/>
          <w:marTop w:val="0"/>
          <w:marBottom w:val="0"/>
          <w:divBdr>
            <w:top w:val="none" w:sz="0" w:space="0" w:color="auto"/>
            <w:left w:val="none" w:sz="0" w:space="0" w:color="auto"/>
            <w:bottom w:val="none" w:sz="0" w:space="0" w:color="auto"/>
            <w:right w:val="none" w:sz="0" w:space="0" w:color="auto"/>
          </w:divBdr>
        </w:div>
        <w:div w:id="692153610">
          <w:marLeft w:val="0"/>
          <w:marRight w:val="0"/>
          <w:marTop w:val="0"/>
          <w:marBottom w:val="0"/>
          <w:divBdr>
            <w:top w:val="none" w:sz="0" w:space="0" w:color="auto"/>
            <w:left w:val="none" w:sz="0" w:space="0" w:color="auto"/>
            <w:bottom w:val="none" w:sz="0" w:space="0" w:color="auto"/>
            <w:right w:val="none" w:sz="0" w:space="0" w:color="auto"/>
          </w:divBdr>
        </w:div>
        <w:div w:id="1282345330">
          <w:marLeft w:val="0"/>
          <w:marRight w:val="0"/>
          <w:marTop w:val="0"/>
          <w:marBottom w:val="0"/>
          <w:divBdr>
            <w:top w:val="none" w:sz="0" w:space="0" w:color="auto"/>
            <w:left w:val="none" w:sz="0" w:space="0" w:color="auto"/>
            <w:bottom w:val="none" w:sz="0" w:space="0" w:color="auto"/>
            <w:right w:val="none" w:sz="0" w:space="0" w:color="auto"/>
          </w:divBdr>
        </w:div>
      </w:divsChild>
    </w:div>
    <w:div w:id="1857116031">
      <w:bodyDiv w:val="1"/>
      <w:marLeft w:val="0"/>
      <w:marRight w:val="0"/>
      <w:marTop w:val="0"/>
      <w:marBottom w:val="0"/>
      <w:divBdr>
        <w:top w:val="none" w:sz="0" w:space="0" w:color="auto"/>
        <w:left w:val="none" w:sz="0" w:space="0" w:color="auto"/>
        <w:bottom w:val="none" w:sz="0" w:space="0" w:color="auto"/>
        <w:right w:val="none" w:sz="0" w:space="0" w:color="auto"/>
      </w:divBdr>
    </w:div>
    <w:div w:id="1886528710">
      <w:bodyDiv w:val="1"/>
      <w:marLeft w:val="0"/>
      <w:marRight w:val="0"/>
      <w:marTop w:val="0"/>
      <w:marBottom w:val="0"/>
      <w:divBdr>
        <w:top w:val="none" w:sz="0" w:space="0" w:color="auto"/>
        <w:left w:val="none" w:sz="0" w:space="0" w:color="auto"/>
        <w:bottom w:val="none" w:sz="0" w:space="0" w:color="auto"/>
        <w:right w:val="none" w:sz="0" w:space="0" w:color="auto"/>
      </w:divBdr>
      <w:divsChild>
        <w:div w:id="1705208800">
          <w:marLeft w:val="0"/>
          <w:marRight w:val="0"/>
          <w:marTop w:val="0"/>
          <w:marBottom w:val="0"/>
          <w:divBdr>
            <w:top w:val="none" w:sz="0" w:space="0" w:color="auto"/>
            <w:left w:val="none" w:sz="0" w:space="0" w:color="auto"/>
            <w:bottom w:val="none" w:sz="0" w:space="0" w:color="auto"/>
            <w:right w:val="none" w:sz="0" w:space="0" w:color="auto"/>
          </w:divBdr>
        </w:div>
        <w:div w:id="125247130">
          <w:marLeft w:val="0"/>
          <w:marRight w:val="0"/>
          <w:marTop w:val="0"/>
          <w:marBottom w:val="0"/>
          <w:divBdr>
            <w:top w:val="none" w:sz="0" w:space="0" w:color="auto"/>
            <w:left w:val="none" w:sz="0" w:space="0" w:color="auto"/>
            <w:bottom w:val="none" w:sz="0" w:space="0" w:color="auto"/>
            <w:right w:val="none" w:sz="0" w:space="0" w:color="auto"/>
          </w:divBdr>
        </w:div>
        <w:div w:id="2134983735">
          <w:marLeft w:val="0"/>
          <w:marRight w:val="0"/>
          <w:marTop w:val="0"/>
          <w:marBottom w:val="0"/>
          <w:divBdr>
            <w:top w:val="none" w:sz="0" w:space="0" w:color="auto"/>
            <w:left w:val="none" w:sz="0" w:space="0" w:color="auto"/>
            <w:bottom w:val="none" w:sz="0" w:space="0" w:color="auto"/>
            <w:right w:val="none" w:sz="0" w:space="0" w:color="auto"/>
          </w:divBdr>
        </w:div>
        <w:div w:id="2117409280">
          <w:marLeft w:val="0"/>
          <w:marRight w:val="0"/>
          <w:marTop w:val="0"/>
          <w:marBottom w:val="0"/>
          <w:divBdr>
            <w:top w:val="none" w:sz="0" w:space="0" w:color="auto"/>
            <w:left w:val="none" w:sz="0" w:space="0" w:color="auto"/>
            <w:bottom w:val="none" w:sz="0" w:space="0" w:color="auto"/>
            <w:right w:val="none" w:sz="0" w:space="0" w:color="auto"/>
          </w:divBdr>
        </w:div>
        <w:div w:id="2070029417">
          <w:marLeft w:val="0"/>
          <w:marRight w:val="0"/>
          <w:marTop w:val="0"/>
          <w:marBottom w:val="0"/>
          <w:divBdr>
            <w:top w:val="none" w:sz="0" w:space="0" w:color="auto"/>
            <w:left w:val="none" w:sz="0" w:space="0" w:color="auto"/>
            <w:bottom w:val="none" w:sz="0" w:space="0" w:color="auto"/>
            <w:right w:val="none" w:sz="0" w:space="0" w:color="auto"/>
          </w:divBdr>
        </w:div>
        <w:div w:id="1873029540">
          <w:marLeft w:val="0"/>
          <w:marRight w:val="0"/>
          <w:marTop w:val="0"/>
          <w:marBottom w:val="0"/>
          <w:divBdr>
            <w:top w:val="none" w:sz="0" w:space="0" w:color="auto"/>
            <w:left w:val="none" w:sz="0" w:space="0" w:color="auto"/>
            <w:bottom w:val="none" w:sz="0" w:space="0" w:color="auto"/>
            <w:right w:val="none" w:sz="0" w:space="0" w:color="auto"/>
          </w:divBdr>
        </w:div>
        <w:div w:id="412943860">
          <w:marLeft w:val="0"/>
          <w:marRight w:val="0"/>
          <w:marTop w:val="0"/>
          <w:marBottom w:val="0"/>
          <w:divBdr>
            <w:top w:val="none" w:sz="0" w:space="0" w:color="auto"/>
            <w:left w:val="none" w:sz="0" w:space="0" w:color="auto"/>
            <w:bottom w:val="none" w:sz="0" w:space="0" w:color="auto"/>
            <w:right w:val="none" w:sz="0" w:space="0" w:color="auto"/>
          </w:divBdr>
        </w:div>
        <w:div w:id="1782530884">
          <w:marLeft w:val="0"/>
          <w:marRight w:val="0"/>
          <w:marTop w:val="0"/>
          <w:marBottom w:val="0"/>
          <w:divBdr>
            <w:top w:val="none" w:sz="0" w:space="0" w:color="auto"/>
            <w:left w:val="none" w:sz="0" w:space="0" w:color="auto"/>
            <w:bottom w:val="none" w:sz="0" w:space="0" w:color="auto"/>
            <w:right w:val="none" w:sz="0" w:space="0" w:color="auto"/>
          </w:divBdr>
        </w:div>
        <w:div w:id="816923671">
          <w:marLeft w:val="0"/>
          <w:marRight w:val="0"/>
          <w:marTop w:val="0"/>
          <w:marBottom w:val="0"/>
          <w:divBdr>
            <w:top w:val="none" w:sz="0" w:space="0" w:color="auto"/>
            <w:left w:val="none" w:sz="0" w:space="0" w:color="auto"/>
            <w:bottom w:val="none" w:sz="0" w:space="0" w:color="auto"/>
            <w:right w:val="none" w:sz="0" w:space="0" w:color="auto"/>
          </w:divBdr>
        </w:div>
        <w:div w:id="922832818">
          <w:marLeft w:val="0"/>
          <w:marRight w:val="0"/>
          <w:marTop w:val="0"/>
          <w:marBottom w:val="0"/>
          <w:divBdr>
            <w:top w:val="none" w:sz="0" w:space="0" w:color="auto"/>
            <w:left w:val="none" w:sz="0" w:space="0" w:color="auto"/>
            <w:bottom w:val="none" w:sz="0" w:space="0" w:color="auto"/>
            <w:right w:val="none" w:sz="0" w:space="0" w:color="auto"/>
          </w:divBdr>
        </w:div>
        <w:div w:id="278756168">
          <w:marLeft w:val="0"/>
          <w:marRight w:val="0"/>
          <w:marTop w:val="0"/>
          <w:marBottom w:val="0"/>
          <w:divBdr>
            <w:top w:val="none" w:sz="0" w:space="0" w:color="auto"/>
            <w:left w:val="none" w:sz="0" w:space="0" w:color="auto"/>
            <w:bottom w:val="none" w:sz="0" w:space="0" w:color="auto"/>
            <w:right w:val="none" w:sz="0" w:space="0" w:color="auto"/>
          </w:divBdr>
        </w:div>
        <w:div w:id="673262592">
          <w:marLeft w:val="0"/>
          <w:marRight w:val="0"/>
          <w:marTop w:val="0"/>
          <w:marBottom w:val="0"/>
          <w:divBdr>
            <w:top w:val="none" w:sz="0" w:space="0" w:color="auto"/>
            <w:left w:val="none" w:sz="0" w:space="0" w:color="auto"/>
            <w:bottom w:val="none" w:sz="0" w:space="0" w:color="auto"/>
            <w:right w:val="none" w:sz="0" w:space="0" w:color="auto"/>
          </w:divBdr>
        </w:div>
        <w:div w:id="389307393">
          <w:marLeft w:val="0"/>
          <w:marRight w:val="0"/>
          <w:marTop w:val="0"/>
          <w:marBottom w:val="0"/>
          <w:divBdr>
            <w:top w:val="none" w:sz="0" w:space="0" w:color="auto"/>
            <w:left w:val="none" w:sz="0" w:space="0" w:color="auto"/>
            <w:bottom w:val="none" w:sz="0" w:space="0" w:color="auto"/>
            <w:right w:val="none" w:sz="0" w:space="0" w:color="auto"/>
          </w:divBdr>
        </w:div>
        <w:div w:id="894777355">
          <w:marLeft w:val="0"/>
          <w:marRight w:val="0"/>
          <w:marTop w:val="0"/>
          <w:marBottom w:val="0"/>
          <w:divBdr>
            <w:top w:val="none" w:sz="0" w:space="0" w:color="auto"/>
            <w:left w:val="none" w:sz="0" w:space="0" w:color="auto"/>
            <w:bottom w:val="none" w:sz="0" w:space="0" w:color="auto"/>
            <w:right w:val="none" w:sz="0" w:space="0" w:color="auto"/>
          </w:divBdr>
        </w:div>
        <w:div w:id="95566955">
          <w:marLeft w:val="0"/>
          <w:marRight w:val="0"/>
          <w:marTop w:val="0"/>
          <w:marBottom w:val="0"/>
          <w:divBdr>
            <w:top w:val="none" w:sz="0" w:space="0" w:color="auto"/>
            <w:left w:val="none" w:sz="0" w:space="0" w:color="auto"/>
            <w:bottom w:val="none" w:sz="0" w:space="0" w:color="auto"/>
            <w:right w:val="none" w:sz="0" w:space="0" w:color="auto"/>
          </w:divBdr>
        </w:div>
        <w:div w:id="2014334602">
          <w:marLeft w:val="0"/>
          <w:marRight w:val="0"/>
          <w:marTop w:val="0"/>
          <w:marBottom w:val="0"/>
          <w:divBdr>
            <w:top w:val="none" w:sz="0" w:space="0" w:color="auto"/>
            <w:left w:val="none" w:sz="0" w:space="0" w:color="auto"/>
            <w:bottom w:val="none" w:sz="0" w:space="0" w:color="auto"/>
            <w:right w:val="none" w:sz="0" w:space="0" w:color="auto"/>
          </w:divBdr>
        </w:div>
        <w:div w:id="908423602">
          <w:marLeft w:val="0"/>
          <w:marRight w:val="0"/>
          <w:marTop w:val="0"/>
          <w:marBottom w:val="0"/>
          <w:divBdr>
            <w:top w:val="none" w:sz="0" w:space="0" w:color="auto"/>
            <w:left w:val="none" w:sz="0" w:space="0" w:color="auto"/>
            <w:bottom w:val="none" w:sz="0" w:space="0" w:color="auto"/>
            <w:right w:val="none" w:sz="0" w:space="0" w:color="auto"/>
          </w:divBdr>
        </w:div>
        <w:div w:id="1536163848">
          <w:marLeft w:val="0"/>
          <w:marRight w:val="0"/>
          <w:marTop w:val="0"/>
          <w:marBottom w:val="0"/>
          <w:divBdr>
            <w:top w:val="none" w:sz="0" w:space="0" w:color="auto"/>
            <w:left w:val="none" w:sz="0" w:space="0" w:color="auto"/>
            <w:bottom w:val="none" w:sz="0" w:space="0" w:color="auto"/>
            <w:right w:val="none" w:sz="0" w:space="0" w:color="auto"/>
          </w:divBdr>
        </w:div>
        <w:div w:id="1139877595">
          <w:marLeft w:val="0"/>
          <w:marRight w:val="0"/>
          <w:marTop w:val="0"/>
          <w:marBottom w:val="0"/>
          <w:divBdr>
            <w:top w:val="none" w:sz="0" w:space="0" w:color="auto"/>
            <w:left w:val="none" w:sz="0" w:space="0" w:color="auto"/>
            <w:bottom w:val="none" w:sz="0" w:space="0" w:color="auto"/>
            <w:right w:val="none" w:sz="0" w:space="0" w:color="auto"/>
          </w:divBdr>
        </w:div>
        <w:div w:id="914823793">
          <w:marLeft w:val="0"/>
          <w:marRight w:val="0"/>
          <w:marTop w:val="0"/>
          <w:marBottom w:val="0"/>
          <w:divBdr>
            <w:top w:val="none" w:sz="0" w:space="0" w:color="auto"/>
            <w:left w:val="none" w:sz="0" w:space="0" w:color="auto"/>
            <w:bottom w:val="none" w:sz="0" w:space="0" w:color="auto"/>
            <w:right w:val="none" w:sz="0" w:space="0" w:color="auto"/>
          </w:divBdr>
        </w:div>
        <w:div w:id="1713729077">
          <w:marLeft w:val="0"/>
          <w:marRight w:val="0"/>
          <w:marTop w:val="0"/>
          <w:marBottom w:val="0"/>
          <w:divBdr>
            <w:top w:val="none" w:sz="0" w:space="0" w:color="auto"/>
            <w:left w:val="none" w:sz="0" w:space="0" w:color="auto"/>
            <w:bottom w:val="none" w:sz="0" w:space="0" w:color="auto"/>
            <w:right w:val="none" w:sz="0" w:space="0" w:color="auto"/>
          </w:divBdr>
        </w:div>
        <w:div w:id="335234326">
          <w:marLeft w:val="0"/>
          <w:marRight w:val="0"/>
          <w:marTop w:val="0"/>
          <w:marBottom w:val="0"/>
          <w:divBdr>
            <w:top w:val="none" w:sz="0" w:space="0" w:color="auto"/>
            <w:left w:val="none" w:sz="0" w:space="0" w:color="auto"/>
            <w:bottom w:val="none" w:sz="0" w:space="0" w:color="auto"/>
            <w:right w:val="none" w:sz="0" w:space="0" w:color="auto"/>
          </w:divBdr>
        </w:div>
        <w:div w:id="2114327039">
          <w:marLeft w:val="0"/>
          <w:marRight w:val="0"/>
          <w:marTop w:val="0"/>
          <w:marBottom w:val="0"/>
          <w:divBdr>
            <w:top w:val="none" w:sz="0" w:space="0" w:color="auto"/>
            <w:left w:val="none" w:sz="0" w:space="0" w:color="auto"/>
            <w:bottom w:val="none" w:sz="0" w:space="0" w:color="auto"/>
            <w:right w:val="none" w:sz="0" w:space="0" w:color="auto"/>
          </w:divBdr>
        </w:div>
        <w:div w:id="2045133370">
          <w:marLeft w:val="0"/>
          <w:marRight w:val="0"/>
          <w:marTop w:val="0"/>
          <w:marBottom w:val="0"/>
          <w:divBdr>
            <w:top w:val="none" w:sz="0" w:space="0" w:color="auto"/>
            <w:left w:val="none" w:sz="0" w:space="0" w:color="auto"/>
            <w:bottom w:val="none" w:sz="0" w:space="0" w:color="auto"/>
            <w:right w:val="none" w:sz="0" w:space="0" w:color="auto"/>
          </w:divBdr>
        </w:div>
        <w:div w:id="1044913710">
          <w:marLeft w:val="0"/>
          <w:marRight w:val="0"/>
          <w:marTop w:val="0"/>
          <w:marBottom w:val="0"/>
          <w:divBdr>
            <w:top w:val="none" w:sz="0" w:space="0" w:color="auto"/>
            <w:left w:val="none" w:sz="0" w:space="0" w:color="auto"/>
            <w:bottom w:val="none" w:sz="0" w:space="0" w:color="auto"/>
            <w:right w:val="none" w:sz="0" w:space="0" w:color="auto"/>
          </w:divBdr>
        </w:div>
        <w:div w:id="1637835250">
          <w:marLeft w:val="0"/>
          <w:marRight w:val="0"/>
          <w:marTop w:val="0"/>
          <w:marBottom w:val="0"/>
          <w:divBdr>
            <w:top w:val="none" w:sz="0" w:space="0" w:color="auto"/>
            <w:left w:val="none" w:sz="0" w:space="0" w:color="auto"/>
            <w:bottom w:val="none" w:sz="0" w:space="0" w:color="auto"/>
            <w:right w:val="none" w:sz="0" w:space="0" w:color="auto"/>
          </w:divBdr>
        </w:div>
        <w:div w:id="457841365">
          <w:marLeft w:val="0"/>
          <w:marRight w:val="0"/>
          <w:marTop w:val="0"/>
          <w:marBottom w:val="0"/>
          <w:divBdr>
            <w:top w:val="none" w:sz="0" w:space="0" w:color="auto"/>
            <w:left w:val="none" w:sz="0" w:space="0" w:color="auto"/>
            <w:bottom w:val="none" w:sz="0" w:space="0" w:color="auto"/>
            <w:right w:val="none" w:sz="0" w:space="0" w:color="auto"/>
          </w:divBdr>
        </w:div>
        <w:div w:id="2049261053">
          <w:marLeft w:val="0"/>
          <w:marRight w:val="0"/>
          <w:marTop w:val="0"/>
          <w:marBottom w:val="0"/>
          <w:divBdr>
            <w:top w:val="none" w:sz="0" w:space="0" w:color="auto"/>
            <w:left w:val="none" w:sz="0" w:space="0" w:color="auto"/>
            <w:bottom w:val="none" w:sz="0" w:space="0" w:color="auto"/>
            <w:right w:val="none" w:sz="0" w:space="0" w:color="auto"/>
          </w:divBdr>
        </w:div>
        <w:div w:id="464930865">
          <w:marLeft w:val="0"/>
          <w:marRight w:val="0"/>
          <w:marTop w:val="0"/>
          <w:marBottom w:val="0"/>
          <w:divBdr>
            <w:top w:val="none" w:sz="0" w:space="0" w:color="auto"/>
            <w:left w:val="none" w:sz="0" w:space="0" w:color="auto"/>
            <w:bottom w:val="none" w:sz="0" w:space="0" w:color="auto"/>
            <w:right w:val="none" w:sz="0" w:space="0" w:color="auto"/>
          </w:divBdr>
        </w:div>
        <w:div w:id="374626462">
          <w:marLeft w:val="0"/>
          <w:marRight w:val="0"/>
          <w:marTop w:val="0"/>
          <w:marBottom w:val="0"/>
          <w:divBdr>
            <w:top w:val="none" w:sz="0" w:space="0" w:color="auto"/>
            <w:left w:val="none" w:sz="0" w:space="0" w:color="auto"/>
            <w:bottom w:val="none" w:sz="0" w:space="0" w:color="auto"/>
            <w:right w:val="none" w:sz="0" w:space="0" w:color="auto"/>
          </w:divBdr>
        </w:div>
        <w:div w:id="900167032">
          <w:marLeft w:val="0"/>
          <w:marRight w:val="0"/>
          <w:marTop w:val="0"/>
          <w:marBottom w:val="0"/>
          <w:divBdr>
            <w:top w:val="none" w:sz="0" w:space="0" w:color="auto"/>
            <w:left w:val="none" w:sz="0" w:space="0" w:color="auto"/>
            <w:bottom w:val="none" w:sz="0" w:space="0" w:color="auto"/>
            <w:right w:val="none" w:sz="0" w:space="0" w:color="auto"/>
          </w:divBdr>
        </w:div>
        <w:div w:id="667173235">
          <w:marLeft w:val="0"/>
          <w:marRight w:val="0"/>
          <w:marTop w:val="0"/>
          <w:marBottom w:val="0"/>
          <w:divBdr>
            <w:top w:val="none" w:sz="0" w:space="0" w:color="auto"/>
            <w:left w:val="none" w:sz="0" w:space="0" w:color="auto"/>
            <w:bottom w:val="none" w:sz="0" w:space="0" w:color="auto"/>
            <w:right w:val="none" w:sz="0" w:space="0" w:color="auto"/>
          </w:divBdr>
        </w:div>
      </w:divsChild>
    </w:div>
    <w:div w:id="1962376486">
      <w:bodyDiv w:val="1"/>
      <w:marLeft w:val="0"/>
      <w:marRight w:val="0"/>
      <w:marTop w:val="0"/>
      <w:marBottom w:val="0"/>
      <w:divBdr>
        <w:top w:val="none" w:sz="0" w:space="0" w:color="auto"/>
        <w:left w:val="none" w:sz="0" w:space="0" w:color="auto"/>
        <w:bottom w:val="none" w:sz="0" w:space="0" w:color="auto"/>
        <w:right w:val="none" w:sz="0" w:space="0" w:color="auto"/>
      </w:divBdr>
    </w:div>
    <w:div w:id="2036808466">
      <w:bodyDiv w:val="1"/>
      <w:marLeft w:val="0"/>
      <w:marRight w:val="0"/>
      <w:marTop w:val="0"/>
      <w:marBottom w:val="0"/>
      <w:divBdr>
        <w:top w:val="none" w:sz="0" w:space="0" w:color="auto"/>
        <w:left w:val="none" w:sz="0" w:space="0" w:color="auto"/>
        <w:bottom w:val="none" w:sz="0" w:space="0" w:color="auto"/>
        <w:right w:val="none" w:sz="0" w:space="0" w:color="auto"/>
      </w:divBdr>
      <w:divsChild>
        <w:div w:id="1065764606">
          <w:marLeft w:val="0"/>
          <w:marRight w:val="0"/>
          <w:marTop w:val="0"/>
          <w:marBottom w:val="0"/>
          <w:divBdr>
            <w:top w:val="none" w:sz="0" w:space="0" w:color="auto"/>
            <w:left w:val="none" w:sz="0" w:space="0" w:color="auto"/>
            <w:bottom w:val="none" w:sz="0" w:space="0" w:color="auto"/>
            <w:right w:val="none" w:sz="0" w:space="0" w:color="auto"/>
          </w:divBdr>
        </w:div>
        <w:div w:id="243999993">
          <w:marLeft w:val="0"/>
          <w:marRight w:val="0"/>
          <w:marTop w:val="0"/>
          <w:marBottom w:val="0"/>
          <w:divBdr>
            <w:top w:val="none" w:sz="0" w:space="0" w:color="auto"/>
            <w:left w:val="none" w:sz="0" w:space="0" w:color="auto"/>
            <w:bottom w:val="none" w:sz="0" w:space="0" w:color="auto"/>
            <w:right w:val="none" w:sz="0" w:space="0" w:color="auto"/>
          </w:divBdr>
        </w:div>
        <w:div w:id="1863129394">
          <w:marLeft w:val="0"/>
          <w:marRight w:val="0"/>
          <w:marTop w:val="0"/>
          <w:marBottom w:val="0"/>
          <w:divBdr>
            <w:top w:val="none" w:sz="0" w:space="0" w:color="auto"/>
            <w:left w:val="none" w:sz="0" w:space="0" w:color="auto"/>
            <w:bottom w:val="none" w:sz="0" w:space="0" w:color="auto"/>
            <w:right w:val="none" w:sz="0" w:space="0" w:color="auto"/>
          </w:divBdr>
        </w:div>
        <w:div w:id="818883551">
          <w:marLeft w:val="0"/>
          <w:marRight w:val="0"/>
          <w:marTop w:val="0"/>
          <w:marBottom w:val="0"/>
          <w:divBdr>
            <w:top w:val="none" w:sz="0" w:space="0" w:color="auto"/>
            <w:left w:val="none" w:sz="0" w:space="0" w:color="auto"/>
            <w:bottom w:val="none" w:sz="0" w:space="0" w:color="auto"/>
            <w:right w:val="none" w:sz="0" w:space="0" w:color="auto"/>
          </w:divBdr>
        </w:div>
        <w:div w:id="820778621">
          <w:marLeft w:val="0"/>
          <w:marRight w:val="0"/>
          <w:marTop w:val="0"/>
          <w:marBottom w:val="0"/>
          <w:divBdr>
            <w:top w:val="none" w:sz="0" w:space="0" w:color="auto"/>
            <w:left w:val="none" w:sz="0" w:space="0" w:color="auto"/>
            <w:bottom w:val="none" w:sz="0" w:space="0" w:color="auto"/>
            <w:right w:val="none" w:sz="0" w:space="0" w:color="auto"/>
          </w:divBdr>
        </w:div>
        <w:div w:id="89242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NJagar</dc:creator>
  <cp:lastModifiedBy>Niall O'Halloran</cp:lastModifiedBy>
  <cp:revision>8</cp:revision>
  <cp:lastPrinted>2014-02-13T19:22:00Z</cp:lastPrinted>
  <dcterms:created xsi:type="dcterms:W3CDTF">2021-04-30T15:15:00Z</dcterms:created>
  <dcterms:modified xsi:type="dcterms:W3CDTF">2021-05-19T17:30:00Z</dcterms:modified>
</cp:coreProperties>
</file>