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A5C99" w14:textId="77777777" w:rsidR="00B019FC" w:rsidRPr="00B019FC" w:rsidRDefault="00BC6AAC" w:rsidP="00B019FC">
      <w:pPr>
        <w:rPr>
          <w:sz w:val="8"/>
          <w:szCs w:val="8"/>
        </w:rPr>
      </w:pPr>
      <w:r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64FE83B4" wp14:editId="130F86A1">
            <wp:simplePos x="0" y="0"/>
            <wp:positionH relativeFrom="column">
              <wp:posOffset>-428625</wp:posOffset>
            </wp:positionH>
            <wp:positionV relativeFrom="page">
              <wp:posOffset>340995</wp:posOffset>
            </wp:positionV>
            <wp:extent cx="3274695" cy="1158875"/>
            <wp:effectExtent l="0" t="0" r="190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IT_RGB_T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4695" cy="1158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0" w:type="auto"/>
        <w:tblInd w:w="108" w:type="dxa"/>
        <w:tblBorders>
          <w:top w:val="single" w:sz="18" w:space="0" w:color="auto"/>
          <w:left w:val="none" w:sz="0" w:space="0" w:color="auto"/>
          <w:bottom w:val="single" w:sz="1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52"/>
      </w:tblGrid>
      <w:tr w:rsidR="00BC6AAC" w:rsidRPr="00B019FC" w14:paraId="1F80795E" w14:textId="77777777" w:rsidTr="00CB5F79">
        <w:trPr>
          <w:trHeight w:val="503"/>
        </w:trPr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F294F" w14:textId="3693EF6F" w:rsidR="00B019FC" w:rsidRPr="00B019FC" w:rsidRDefault="003E1EC9">
            <w:pPr>
              <w:pStyle w:val="Heading1"/>
              <w:outlineLvl w:val="0"/>
              <w:rPr>
                <w:color w:val="FFFFFF" w:themeColor="background1"/>
              </w:rPr>
            </w:pPr>
            <w:bookmarkStart w:id="0" w:name="_Toc241057789"/>
            <w:r>
              <w:t xml:space="preserve">EXPENDITURE </w:t>
            </w:r>
            <w:r w:rsidR="002A40B3" w:rsidRPr="004D393D">
              <w:t>SIGNING AUTHORITY PROCEDURES</w:t>
            </w:r>
            <w:r w:rsidR="00CD53C5" w:rsidRPr="004D393D">
              <w:rPr>
                <w:rStyle w:val="FootnoteReference"/>
                <w:b w:val="0"/>
                <w:bCs w:val="0"/>
                <w:color w:val="FFFFFF" w:themeColor="background1"/>
              </w:rPr>
              <w:footnoteReference w:id="1"/>
            </w:r>
          </w:p>
        </w:tc>
      </w:tr>
    </w:tbl>
    <w:bookmarkEnd w:id="0"/>
    <w:p w14:paraId="1EBCD16F" w14:textId="77777777" w:rsidR="00CE0963" w:rsidRPr="004D393D" w:rsidRDefault="00B019FC" w:rsidP="00CB5F79">
      <w:pPr>
        <w:pStyle w:val="Heading2"/>
        <w:rPr>
          <w:sz w:val="24"/>
          <w:szCs w:val="22"/>
        </w:rPr>
      </w:pPr>
      <w:r w:rsidRPr="00B019FC">
        <w:rPr>
          <w:rFonts w:eastAsia="Calibri"/>
          <w:lang w:val="en-CA"/>
        </w:rPr>
        <w:t>1.</w:t>
      </w:r>
      <w:r w:rsidRPr="00B019FC">
        <w:rPr>
          <w:rFonts w:eastAsia="Calibri"/>
          <w:lang w:val="en-CA"/>
        </w:rPr>
        <w:tab/>
      </w:r>
      <w:r w:rsidRPr="004D393D">
        <w:rPr>
          <w:sz w:val="22"/>
        </w:rPr>
        <w:t>PURPOSE</w:t>
      </w:r>
    </w:p>
    <w:p w14:paraId="4CBB5156" w14:textId="61F5BD34" w:rsidR="004E3DFE" w:rsidRPr="004D393D" w:rsidRDefault="00CE0963" w:rsidP="004D393D">
      <w:pPr>
        <w:ind w:left="709" w:firstLine="11"/>
        <w:rPr>
          <w:sz w:val="22"/>
          <w:szCs w:val="20"/>
        </w:rPr>
      </w:pPr>
      <w:r w:rsidRPr="004D393D">
        <w:rPr>
          <w:sz w:val="22"/>
          <w:szCs w:val="20"/>
        </w:rPr>
        <w:t>The pu</w:t>
      </w:r>
      <w:r w:rsidR="004E3DFE" w:rsidRPr="004D393D">
        <w:rPr>
          <w:sz w:val="22"/>
          <w:szCs w:val="20"/>
        </w:rPr>
        <w:t xml:space="preserve">rpose of these procedures is to specify </w:t>
      </w:r>
      <w:r w:rsidR="005F602B">
        <w:rPr>
          <w:sz w:val="22"/>
          <w:szCs w:val="20"/>
        </w:rPr>
        <w:t xml:space="preserve">(a) </w:t>
      </w:r>
      <w:r w:rsidR="004E3DFE" w:rsidRPr="004D393D">
        <w:rPr>
          <w:rFonts w:cs="Arial"/>
          <w:sz w:val="22"/>
          <w:szCs w:val="20"/>
        </w:rPr>
        <w:t xml:space="preserve">the signing authorities required for </w:t>
      </w:r>
      <w:r w:rsidR="00393760">
        <w:rPr>
          <w:rFonts w:cs="Arial"/>
          <w:sz w:val="22"/>
          <w:szCs w:val="20"/>
        </w:rPr>
        <w:t xml:space="preserve">the </w:t>
      </w:r>
      <w:r w:rsidR="00E8130D">
        <w:rPr>
          <w:rFonts w:cs="Arial"/>
          <w:sz w:val="22"/>
          <w:szCs w:val="20"/>
        </w:rPr>
        <w:t>E</w:t>
      </w:r>
      <w:r w:rsidR="00393760">
        <w:rPr>
          <w:rFonts w:cs="Arial"/>
          <w:sz w:val="22"/>
          <w:szCs w:val="20"/>
        </w:rPr>
        <w:t xml:space="preserve">xpenditure of university funds </w:t>
      </w:r>
      <w:r w:rsidR="00E8130D">
        <w:rPr>
          <w:rFonts w:cs="Arial"/>
          <w:sz w:val="22"/>
          <w:szCs w:val="20"/>
        </w:rPr>
        <w:t xml:space="preserve">and </w:t>
      </w:r>
      <w:r w:rsidR="00393760">
        <w:rPr>
          <w:rFonts w:cs="Arial"/>
          <w:sz w:val="22"/>
          <w:szCs w:val="20"/>
        </w:rPr>
        <w:t xml:space="preserve">the </w:t>
      </w:r>
      <w:r w:rsidR="00E8130D">
        <w:rPr>
          <w:rFonts w:cs="Arial"/>
          <w:sz w:val="22"/>
          <w:szCs w:val="20"/>
        </w:rPr>
        <w:t>Financial Contracts</w:t>
      </w:r>
      <w:r w:rsidR="00393760">
        <w:rPr>
          <w:rFonts w:cs="Arial"/>
          <w:sz w:val="22"/>
          <w:szCs w:val="20"/>
        </w:rPr>
        <w:t xml:space="preserve"> </w:t>
      </w:r>
      <w:r w:rsidR="005F602B">
        <w:rPr>
          <w:rFonts w:cs="Arial"/>
          <w:sz w:val="22"/>
          <w:szCs w:val="20"/>
        </w:rPr>
        <w:t xml:space="preserve">which result </w:t>
      </w:r>
      <w:r w:rsidR="00292AF5">
        <w:rPr>
          <w:rFonts w:cs="Arial"/>
          <w:sz w:val="22"/>
          <w:szCs w:val="20"/>
        </w:rPr>
        <w:t>in expenditure</w:t>
      </w:r>
      <w:r w:rsidR="00393760">
        <w:rPr>
          <w:rFonts w:cs="Arial"/>
          <w:sz w:val="22"/>
          <w:szCs w:val="20"/>
        </w:rPr>
        <w:t xml:space="preserve"> </w:t>
      </w:r>
      <w:r w:rsidR="005F602B">
        <w:rPr>
          <w:rFonts w:cs="Arial"/>
          <w:sz w:val="22"/>
          <w:szCs w:val="20"/>
        </w:rPr>
        <w:t xml:space="preserve">(e.g. </w:t>
      </w:r>
      <w:r w:rsidR="00393760">
        <w:rPr>
          <w:rFonts w:cs="Arial"/>
          <w:sz w:val="22"/>
          <w:szCs w:val="20"/>
        </w:rPr>
        <w:t xml:space="preserve"> a purchase order</w:t>
      </w:r>
      <w:r w:rsidR="005F602B">
        <w:rPr>
          <w:rFonts w:cs="Arial"/>
          <w:sz w:val="22"/>
          <w:szCs w:val="20"/>
        </w:rPr>
        <w:t>), and (b)</w:t>
      </w:r>
      <w:r w:rsidR="00393760">
        <w:rPr>
          <w:rFonts w:cs="Arial"/>
          <w:sz w:val="22"/>
          <w:szCs w:val="20"/>
        </w:rPr>
        <w:t xml:space="preserve">. </w:t>
      </w:r>
      <w:r w:rsidR="004E3DFE" w:rsidRPr="004D393D">
        <w:rPr>
          <w:rFonts w:cs="Arial"/>
          <w:sz w:val="22"/>
          <w:szCs w:val="20"/>
        </w:rPr>
        <w:t>to</w:t>
      </w:r>
      <w:r w:rsidR="004E3DFE" w:rsidRPr="004D393D">
        <w:rPr>
          <w:rFonts w:cs="Arial"/>
          <w:color w:val="000000"/>
          <w:sz w:val="22"/>
          <w:szCs w:val="20"/>
        </w:rPr>
        <w:t xml:space="preserve"> establish a consistent university-wide framework to enable </w:t>
      </w:r>
      <w:r w:rsidR="00393760">
        <w:rPr>
          <w:rFonts w:cs="Arial"/>
          <w:color w:val="000000"/>
          <w:sz w:val="22"/>
          <w:szCs w:val="20"/>
        </w:rPr>
        <w:t>the fiscal management and responsibility regarding university resources.</w:t>
      </w:r>
    </w:p>
    <w:p w14:paraId="77D686F4" w14:textId="16926D62" w:rsidR="00E10ADC" w:rsidRPr="00E10ADC" w:rsidRDefault="00B019FC" w:rsidP="00E10ADC">
      <w:pPr>
        <w:pStyle w:val="Heading2"/>
        <w:tabs>
          <w:tab w:val="left" w:pos="1501"/>
        </w:tabs>
        <w:spacing w:before="0"/>
        <w:rPr>
          <w:rFonts w:ascii="Calibri" w:eastAsia="Calibri" w:hAnsi="Calibri" w:cstheme="minorBidi"/>
          <w:spacing w:val="-2"/>
          <w:sz w:val="22"/>
          <w:szCs w:val="22"/>
        </w:rPr>
      </w:pPr>
      <w:r w:rsidRPr="004D393D">
        <w:rPr>
          <w:rStyle w:val="Strong"/>
          <w:b/>
          <w:sz w:val="22"/>
        </w:rPr>
        <w:t>2.</w:t>
      </w:r>
      <w:r w:rsidR="00A16C9F">
        <w:rPr>
          <w:rStyle w:val="Strong"/>
          <w:b/>
          <w:sz w:val="22"/>
        </w:rPr>
        <w:t xml:space="preserve">          </w:t>
      </w:r>
      <w:r w:rsidR="00E10ADC" w:rsidRPr="00E10ADC">
        <w:rPr>
          <w:rFonts w:ascii="Calibri" w:eastAsia="Calibri" w:hAnsi="Calibri" w:cstheme="minorBidi"/>
          <w:spacing w:val="-2"/>
          <w:sz w:val="22"/>
          <w:szCs w:val="22"/>
        </w:rPr>
        <w:t>DEFINITIONS</w:t>
      </w:r>
    </w:p>
    <w:p w14:paraId="7C043D44" w14:textId="77777777" w:rsidR="00E10ADC" w:rsidRPr="00E10ADC" w:rsidRDefault="00E10ADC" w:rsidP="00E10ADC">
      <w:pPr>
        <w:widowControl w:val="0"/>
        <w:tabs>
          <w:tab w:val="left" w:pos="1501"/>
        </w:tabs>
        <w:spacing w:after="0"/>
        <w:outlineLvl w:val="1"/>
        <w:rPr>
          <w:rFonts w:ascii="Calibri" w:eastAsia="Calibri" w:hAnsi="Calibri"/>
          <w:sz w:val="22"/>
        </w:rPr>
      </w:pPr>
    </w:p>
    <w:p w14:paraId="49AF5902" w14:textId="77777777" w:rsidR="00E10ADC" w:rsidRPr="00E10ADC" w:rsidRDefault="00E10ADC" w:rsidP="006067A2">
      <w:pPr>
        <w:widowControl w:val="0"/>
        <w:spacing w:after="0"/>
        <w:ind w:left="720"/>
        <w:contextualSpacing/>
        <w:rPr>
          <w:rFonts w:eastAsiaTheme="minorHAnsi"/>
          <w:sz w:val="22"/>
        </w:rPr>
      </w:pPr>
      <w:r w:rsidRPr="00E10ADC">
        <w:rPr>
          <w:rFonts w:eastAsiaTheme="minorHAnsi"/>
          <w:sz w:val="22"/>
        </w:rPr>
        <w:t>For the purposes of these Procedures the following definitions apply:</w:t>
      </w:r>
    </w:p>
    <w:p w14:paraId="66F66C94" w14:textId="0A7B1423" w:rsidR="00E10ADC" w:rsidRDefault="00E10ADC" w:rsidP="00E10ADC">
      <w:pPr>
        <w:widowControl w:val="0"/>
        <w:spacing w:before="118" w:after="0"/>
        <w:ind w:left="720" w:right="809" w:firstLine="4"/>
        <w:jc w:val="both"/>
        <w:rPr>
          <w:rFonts w:ascii="Calibri" w:eastAsia="Calibri" w:hAnsi="Calibri"/>
          <w:spacing w:val="-2"/>
          <w:sz w:val="22"/>
        </w:rPr>
      </w:pPr>
      <w:r w:rsidRPr="00E10ADC">
        <w:rPr>
          <w:rFonts w:ascii="Calibri" w:eastAsia="Calibri" w:hAnsi="Calibri"/>
          <w:b/>
          <w:spacing w:val="-2"/>
          <w:sz w:val="22"/>
        </w:rPr>
        <w:t xml:space="preserve">“Budget Holder” </w:t>
      </w:r>
      <w:r w:rsidRPr="00E10ADC">
        <w:rPr>
          <w:rFonts w:ascii="Calibri" w:eastAsia="Calibri" w:hAnsi="Calibri"/>
          <w:spacing w:val="-2"/>
          <w:sz w:val="22"/>
        </w:rPr>
        <w:t xml:space="preserve">means the individual(s) who are responsible for individual budgets at various departmental levels across the University </w:t>
      </w:r>
    </w:p>
    <w:p w14:paraId="65D1C1F5" w14:textId="39A5E910" w:rsidR="004D6EA6" w:rsidRPr="00E10ADC" w:rsidRDefault="004D6EA6" w:rsidP="004D6EA6">
      <w:pPr>
        <w:widowControl w:val="0"/>
        <w:spacing w:before="118" w:after="0"/>
        <w:ind w:left="720" w:right="809" w:firstLine="4"/>
        <w:jc w:val="both"/>
        <w:rPr>
          <w:rFonts w:ascii="Calibri" w:eastAsia="Calibri" w:hAnsi="Calibri"/>
          <w:spacing w:val="-3"/>
          <w:sz w:val="22"/>
        </w:rPr>
      </w:pPr>
      <w:r>
        <w:rPr>
          <w:rFonts w:ascii="Calibri" w:eastAsia="Calibri" w:hAnsi="Calibri"/>
          <w:spacing w:val="-3"/>
          <w:sz w:val="22"/>
        </w:rPr>
        <w:t>“</w:t>
      </w:r>
      <w:r w:rsidRPr="006067A2">
        <w:rPr>
          <w:rFonts w:ascii="Calibri" w:eastAsia="Calibri" w:hAnsi="Calibri"/>
          <w:b/>
          <w:spacing w:val="-3"/>
          <w:sz w:val="22"/>
        </w:rPr>
        <w:t>Expenditures”</w:t>
      </w:r>
      <w:r w:rsidRPr="00E10ADC">
        <w:rPr>
          <w:rFonts w:ascii="Calibri" w:eastAsia="Calibri" w:hAnsi="Calibri"/>
          <w:spacing w:val="-3"/>
          <w:sz w:val="22"/>
        </w:rPr>
        <w:t xml:space="preserve"> include all amounts disbursed</w:t>
      </w:r>
      <w:r>
        <w:rPr>
          <w:rFonts w:ascii="Calibri" w:eastAsia="Calibri" w:hAnsi="Calibri"/>
          <w:spacing w:val="-3"/>
          <w:sz w:val="22"/>
        </w:rPr>
        <w:t xml:space="preserve"> from the University, including amounts pursuant to a Financial Contract</w:t>
      </w:r>
      <w:r w:rsidRPr="00E10ADC">
        <w:rPr>
          <w:rFonts w:ascii="Calibri" w:eastAsia="Calibri" w:hAnsi="Calibri"/>
          <w:spacing w:val="-3"/>
          <w:sz w:val="22"/>
        </w:rPr>
        <w:t xml:space="preserve">. </w:t>
      </w:r>
    </w:p>
    <w:p w14:paraId="16B05537" w14:textId="2CB1140F" w:rsidR="00E10ADC" w:rsidRPr="006067A2" w:rsidRDefault="00E10ADC" w:rsidP="00E10ADC">
      <w:pPr>
        <w:widowControl w:val="0"/>
        <w:spacing w:before="118" w:after="0"/>
        <w:ind w:left="720" w:right="809" w:firstLine="4"/>
        <w:jc w:val="both"/>
        <w:rPr>
          <w:rFonts w:ascii="Calibri" w:eastAsia="Calibri" w:hAnsi="Calibri"/>
          <w:spacing w:val="-3"/>
          <w:sz w:val="22"/>
        </w:rPr>
      </w:pPr>
      <w:r w:rsidRPr="00E10ADC">
        <w:rPr>
          <w:rFonts w:ascii="Calibri" w:eastAsia="Calibri" w:hAnsi="Calibri"/>
          <w:b/>
          <w:spacing w:val="-2"/>
          <w:sz w:val="22"/>
        </w:rPr>
        <w:t>“Financial Contract”</w:t>
      </w:r>
      <w:r w:rsidRPr="00E10ADC">
        <w:rPr>
          <w:rFonts w:ascii="Calibri" w:eastAsia="Calibri" w:hAnsi="Calibri"/>
          <w:spacing w:val="1"/>
          <w:sz w:val="22"/>
        </w:rPr>
        <w:t xml:space="preserve"> </w:t>
      </w:r>
      <w:r w:rsidRPr="00E10ADC">
        <w:rPr>
          <w:rFonts w:ascii="Calibri" w:eastAsia="Calibri" w:hAnsi="Calibri"/>
          <w:spacing w:val="-3"/>
          <w:sz w:val="22"/>
        </w:rPr>
        <w:t xml:space="preserve">means any document, process or other evidence that records an intention to establish a monetary obligation between the University and one or more third parties, e.g. the procurement of goods and services through a purchase order.    </w:t>
      </w:r>
    </w:p>
    <w:p w14:paraId="05C1E498" w14:textId="268471F9" w:rsidR="00E10ADC" w:rsidRPr="00E10ADC" w:rsidRDefault="00E10ADC" w:rsidP="00E10ADC">
      <w:pPr>
        <w:widowControl w:val="0"/>
        <w:spacing w:before="139" w:after="0"/>
        <w:ind w:left="743" w:right="864" w:firstLine="4"/>
        <w:rPr>
          <w:rFonts w:ascii="Calibri" w:eastAsia="Calibri" w:hAnsi="Calibri"/>
          <w:sz w:val="22"/>
        </w:rPr>
      </w:pPr>
      <w:r w:rsidRPr="00E10ADC">
        <w:rPr>
          <w:rFonts w:ascii="Calibri" w:eastAsia="Calibri" w:hAnsi="Calibri"/>
          <w:b/>
          <w:sz w:val="22"/>
        </w:rPr>
        <w:t>“Responsible Unit”</w:t>
      </w:r>
      <w:r w:rsidRPr="00E10ADC">
        <w:rPr>
          <w:rFonts w:ascii="Calibri" w:eastAsia="Calibri" w:hAnsi="Calibri"/>
          <w:sz w:val="22"/>
        </w:rPr>
        <w:t xml:space="preserve"> means the unit that must ensure that an official copy of the documentation supporting the Expenditure is retained in compliance with the University’s Records Management Policy.</w:t>
      </w:r>
    </w:p>
    <w:p w14:paraId="7A6B44E0" w14:textId="77777777" w:rsidR="00E10ADC" w:rsidRPr="00E10ADC" w:rsidRDefault="00E10ADC" w:rsidP="006067A2">
      <w:pPr>
        <w:widowControl w:val="0"/>
        <w:spacing w:before="139" w:after="0"/>
        <w:ind w:left="720" w:right="864"/>
        <w:rPr>
          <w:rFonts w:ascii="Calibri" w:eastAsia="Calibri" w:hAnsi="Calibri"/>
          <w:sz w:val="22"/>
        </w:rPr>
      </w:pPr>
      <w:r w:rsidRPr="00E10ADC">
        <w:rPr>
          <w:rFonts w:ascii="Calibri" w:eastAsia="Calibri" w:hAnsi="Calibri"/>
          <w:b/>
          <w:sz w:val="22"/>
        </w:rPr>
        <w:t>“Sponsor”</w:t>
      </w:r>
      <w:r w:rsidRPr="00E10ADC">
        <w:rPr>
          <w:rFonts w:ascii="Calibri" w:eastAsia="Calibri" w:hAnsi="Calibri"/>
          <w:sz w:val="22"/>
        </w:rPr>
        <w:t xml:space="preserve"> means the provider of funds for University activities, including both external and internal sources.</w:t>
      </w:r>
    </w:p>
    <w:p w14:paraId="003E4548" w14:textId="77777777" w:rsidR="00E10ADC" w:rsidRPr="00E10ADC" w:rsidRDefault="00E10ADC" w:rsidP="00E10ADC">
      <w:pPr>
        <w:widowControl w:val="0"/>
        <w:spacing w:before="139" w:after="0"/>
        <w:ind w:right="864"/>
        <w:rPr>
          <w:rFonts w:ascii="Calibri" w:eastAsia="Calibri" w:hAnsi="Calibri"/>
          <w:sz w:val="22"/>
        </w:rPr>
      </w:pPr>
    </w:p>
    <w:p w14:paraId="6FF49107" w14:textId="77777777" w:rsidR="00E10ADC" w:rsidRPr="00E10ADC" w:rsidRDefault="00E10ADC" w:rsidP="00E10ADC">
      <w:pPr>
        <w:widowControl w:val="0"/>
        <w:spacing w:before="139" w:after="0"/>
        <w:ind w:right="864"/>
        <w:rPr>
          <w:rFonts w:ascii="Calibri" w:eastAsia="Calibri" w:hAnsi="Calibri"/>
          <w:b/>
          <w:sz w:val="22"/>
        </w:rPr>
      </w:pPr>
      <w:r w:rsidRPr="00E10ADC">
        <w:rPr>
          <w:rFonts w:ascii="Calibri" w:eastAsia="Calibri" w:hAnsi="Calibri"/>
          <w:b/>
          <w:sz w:val="22"/>
        </w:rPr>
        <w:t>SCOPE AND AUTHORITY</w:t>
      </w:r>
    </w:p>
    <w:p w14:paraId="146CAA64" w14:textId="77777777" w:rsidR="00E10ADC" w:rsidRPr="00E10ADC" w:rsidRDefault="00E10ADC" w:rsidP="00E10ADC">
      <w:pPr>
        <w:widowControl w:val="0"/>
        <w:spacing w:before="139" w:after="0"/>
        <w:ind w:right="864"/>
        <w:rPr>
          <w:rFonts w:ascii="Calibri" w:eastAsia="Calibri" w:hAnsi="Calibri"/>
          <w:b/>
          <w:sz w:val="22"/>
        </w:rPr>
      </w:pPr>
    </w:p>
    <w:p w14:paraId="2A2F12DF" w14:textId="70471B31" w:rsidR="004D6EA6" w:rsidRDefault="003E1EC9" w:rsidP="002D55F3">
      <w:pPr>
        <w:widowControl w:val="0"/>
        <w:spacing w:after="0"/>
        <w:ind w:left="720" w:hanging="360"/>
        <w:contextualSpacing/>
        <w:rPr>
          <w:rFonts w:eastAsiaTheme="minorHAnsi"/>
          <w:sz w:val="22"/>
        </w:rPr>
      </w:pPr>
      <w:r w:rsidRPr="006067A2">
        <w:rPr>
          <w:rStyle w:val="Strong"/>
          <w:rFonts w:eastAsiaTheme="majorEastAsia" w:cstheme="minorHAnsi"/>
          <w:szCs w:val="20"/>
        </w:rPr>
        <w:t>3.</w:t>
      </w:r>
      <w:r w:rsidRPr="006067A2">
        <w:rPr>
          <w:rStyle w:val="Strong"/>
          <w:rFonts w:eastAsiaTheme="majorEastAsia" w:cstheme="minorHAnsi"/>
          <w:szCs w:val="20"/>
        </w:rPr>
        <w:tab/>
      </w:r>
      <w:r w:rsidR="00E10ADC" w:rsidRPr="00547B2E">
        <w:rPr>
          <w:rFonts w:eastAsiaTheme="minorHAnsi"/>
          <w:sz w:val="22"/>
        </w:rPr>
        <w:t>This</w:t>
      </w:r>
      <w:r w:rsidR="00E10ADC" w:rsidRPr="00E10ADC">
        <w:rPr>
          <w:rFonts w:eastAsiaTheme="minorHAnsi"/>
          <w:sz w:val="22"/>
        </w:rPr>
        <w:t xml:space="preserve"> Policy applies to all types of Expenditures and </w:t>
      </w:r>
      <w:r w:rsidR="005D62ED">
        <w:rPr>
          <w:rFonts w:eastAsiaTheme="minorHAnsi"/>
          <w:sz w:val="22"/>
        </w:rPr>
        <w:t xml:space="preserve">Financial Contracts and </w:t>
      </w:r>
      <w:r w:rsidR="00E10ADC" w:rsidRPr="00E10ADC">
        <w:rPr>
          <w:rFonts w:eastAsiaTheme="minorHAnsi"/>
          <w:sz w:val="22"/>
        </w:rPr>
        <w:t xml:space="preserve">extends to all members of the University community. Non-monetary contracts, such as academic agreements, the establishment of a partnership or similar arrangement, and employment agreements are </w:t>
      </w:r>
      <w:r w:rsidR="00E10ADC" w:rsidRPr="00E10ADC">
        <w:rPr>
          <w:rFonts w:eastAsiaTheme="minorHAnsi"/>
          <w:sz w:val="22"/>
        </w:rPr>
        <w:lastRenderedPageBreak/>
        <w:t xml:space="preserve">not under the scope of these procedures.  </w:t>
      </w:r>
      <w:r w:rsidR="00E10ADC" w:rsidRPr="00E10ADC">
        <w:rPr>
          <w:rFonts w:eastAsiaTheme="minorHAnsi"/>
          <w:spacing w:val="-3"/>
          <w:sz w:val="22"/>
        </w:rPr>
        <w:t>For greater certainty, authority over contracts governed by the [Contract Authority Policy] are set out therein.</w:t>
      </w:r>
      <w:r w:rsidR="00E10ADC" w:rsidRPr="00E10ADC">
        <w:rPr>
          <w:rFonts w:eastAsiaTheme="minorHAnsi"/>
          <w:sz w:val="22"/>
        </w:rPr>
        <w:t xml:space="preserve"> </w:t>
      </w:r>
    </w:p>
    <w:p w14:paraId="5DB0CAA2" w14:textId="77777777" w:rsidR="004D6EA6" w:rsidRDefault="004D6EA6" w:rsidP="002D55F3">
      <w:pPr>
        <w:widowControl w:val="0"/>
        <w:spacing w:after="0"/>
        <w:ind w:left="720" w:hanging="360"/>
        <w:contextualSpacing/>
        <w:rPr>
          <w:rFonts w:eastAsiaTheme="minorHAnsi"/>
          <w:sz w:val="22"/>
        </w:rPr>
      </w:pPr>
    </w:p>
    <w:p w14:paraId="289A826D" w14:textId="638EC001" w:rsidR="00E10ADC" w:rsidRPr="006067A2" w:rsidRDefault="004D6EA6" w:rsidP="006067A2">
      <w:pPr>
        <w:widowControl w:val="0"/>
        <w:spacing w:after="0"/>
        <w:ind w:left="720" w:hanging="360"/>
        <w:contextualSpacing/>
        <w:rPr>
          <w:rFonts w:ascii="Calibri" w:eastAsia="Calibri" w:hAnsi="Calibri"/>
          <w:b/>
          <w:sz w:val="22"/>
        </w:rPr>
      </w:pPr>
      <w:r w:rsidRPr="006067A2">
        <w:rPr>
          <w:rFonts w:ascii="Calibri" w:eastAsia="Calibri" w:hAnsi="Calibri"/>
          <w:b/>
          <w:sz w:val="22"/>
        </w:rPr>
        <w:t>4</w:t>
      </w:r>
      <w:r>
        <w:rPr>
          <w:rFonts w:ascii="Calibri" w:eastAsia="Calibri" w:hAnsi="Calibri"/>
          <w:sz w:val="22"/>
        </w:rPr>
        <w:t xml:space="preserve">. </w:t>
      </w:r>
      <w:r w:rsidR="00A16C9F">
        <w:rPr>
          <w:rFonts w:ascii="Calibri" w:eastAsia="Calibri" w:hAnsi="Calibri"/>
          <w:sz w:val="22"/>
        </w:rPr>
        <w:t xml:space="preserve">   </w:t>
      </w:r>
      <w:r w:rsidR="00E10ADC" w:rsidRPr="006067A2">
        <w:rPr>
          <w:rFonts w:ascii="Calibri" w:eastAsia="Calibri" w:hAnsi="Calibri"/>
          <w:sz w:val="22"/>
        </w:rPr>
        <w:t>The Vice President Administration or successor thereof, is the Policy Owner and is responsible for overseeing the implementation, administration and interpretation of this Policy.</w:t>
      </w:r>
    </w:p>
    <w:p w14:paraId="492C2B0E" w14:textId="77777777" w:rsidR="00CE0963" w:rsidRPr="004D393D" w:rsidRDefault="00B019FC" w:rsidP="00CB5F79">
      <w:pPr>
        <w:pStyle w:val="Heading2"/>
        <w:rPr>
          <w:rStyle w:val="Strong"/>
          <w:b/>
          <w:sz w:val="22"/>
        </w:rPr>
      </w:pPr>
      <w:r w:rsidRPr="004D393D">
        <w:rPr>
          <w:rStyle w:val="Strong"/>
          <w:b/>
          <w:sz w:val="22"/>
        </w:rPr>
        <w:t>PROCEDURES</w:t>
      </w:r>
    </w:p>
    <w:p w14:paraId="3E7C979F" w14:textId="61048B3F" w:rsidR="006E0FA5" w:rsidRPr="004D393D" w:rsidRDefault="00CD53C5" w:rsidP="00CD53C5">
      <w:pPr>
        <w:tabs>
          <w:tab w:val="left" w:pos="720"/>
          <w:tab w:val="left" w:pos="1080"/>
          <w:tab w:val="left" w:pos="1440"/>
        </w:tabs>
        <w:rPr>
          <w:rFonts w:ascii="Calibri" w:hAnsi="Calibri" w:cs="Calibri"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ab/>
      </w:r>
      <w:r w:rsidR="00B0012A">
        <w:rPr>
          <w:rFonts w:ascii="Calibri" w:hAnsi="Calibri" w:cs="Calibri"/>
          <w:b/>
          <w:sz w:val="22"/>
          <w:szCs w:val="20"/>
        </w:rPr>
        <w:t>5</w:t>
      </w:r>
      <w:r w:rsidRPr="004D393D">
        <w:rPr>
          <w:rFonts w:ascii="Calibri" w:hAnsi="Calibri" w:cs="Calibri"/>
          <w:b/>
          <w:sz w:val="22"/>
          <w:szCs w:val="20"/>
        </w:rPr>
        <w:t>.1</w:t>
      </w:r>
      <w:r w:rsidRPr="004D393D">
        <w:rPr>
          <w:rFonts w:ascii="Calibri" w:hAnsi="Calibri" w:cs="Calibri"/>
          <w:b/>
          <w:sz w:val="22"/>
          <w:szCs w:val="20"/>
        </w:rPr>
        <w:tab/>
      </w:r>
      <w:r w:rsidR="006E0FA5" w:rsidRPr="00547B2E">
        <w:rPr>
          <w:rFonts w:ascii="Calibri" w:hAnsi="Calibri" w:cs="Calibri"/>
          <w:b/>
          <w:sz w:val="22"/>
          <w:szCs w:val="20"/>
        </w:rPr>
        <w:t>Authorization</w:t>
      </w:r>
      <w:r w:rsidR="003E1EC9" w:rsidRPr="006067A2">
        <w:rPr>
          <w:rFonts w:ascii="Calibri" w:hAnsi="Calibri" w:cs="Calibri"/>
          <w:b/>
          <w:sz w:val="22"/>
          <w:szCs w:val="20"/>
        </w:rPr>
        <w:t xml:space="preserve"> of Expenditures</w:t>
      </w:r>
    </w:p>
    <w:p w14:paraId="4CD178F1" w14:textId="0C062CE6" w:rsidR="00CD53C5" w:rsidRPr="004D393D" w:rsidRDefault="00171745" w:rsidP="00CD53C5">
      <w:pPr>
        <w:ind w:left="1080" w:hanging="360"/>
        <w:rPr>
          <w:rFonts w:ascii="Calibri" w:hAnsi="Calibri" w:cs="Calibri"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ab/>
      </w:r>
      <w:r w:rsidR="0046034B" w:rsidRPr="004D393D">
        <w:rPr>
          <w:rFonts w:ascii="Calibri" w:hAnsi="Calibri" w:cs="Calibri"/>
          <w:sz w:val="22"/>
          <w:szCs w:val="20"/>
        </w:rPr>
        <w:t>Pu</w:t>
      </w:r>
      <w:r w:rsidR="00CE0963" w:rsidRPr="004D393D">
        <w:rPr>
          <w:rFonts w:ascii="Calibri" w:hAnsi="Calibri" w:cs="Calibri"/>
          <w:sz w:val="22"/>
          <w:szCs w:val="20"/>
        </w:rPr>
        <w:t xml:space="preserve">blication of the </w:t>
      </w:r>
      <w:r w:rsidR="00201E4B" w:rsidRPr="004D393D">
        <w:rPr>
          <w:rFonts w:ascii="Calibri" w:hAnsi="Calibri" w:cs="Calibri"/>
          <w:sz w:val="22"/>
          <w:szCs w:val="20"/>
        </w:rPr>
        <w:t>operating budget</w:t>
      </w:r>
      <w:r w:rsidR="00CE0963" w:rsidRPr="004D393D">
        <w:rPr>
          <w:rFonts w:ascii="Calibri" w:hAnsi="Calibri" w:cs="Calibri"/>
          <w:sz w:val="22"/>
          <w:szCs w:val="20"/>
        </w:rPr>
        <w:t xml:space="preserve">, as approved by the </w:t>
      </w:r>
      <w:r w:rsidR="00350055" w:rsidRPr="004D393D">
        <w:rPr>
          <w:rFonts w:ascii="Calibri" w:hAnsi="Calibri" w:cs="Calibri"/>
          <w:sz w:val="22"/>
          <w:szCs w:val="20"/>
        </w:rPr>
        <w:t xml:space="preserve">Board of </w:t>
      </w:r>
      <w:r w:rsidR="00CE0963" w:rsidRPr="004D393D">
        <w:rPr>
          <w:rFonts w:ascii="Calibri" w:hAnsi="Calibri" w:cs="Calibri"/>
          <w:sz w:val="22"/>
          <w:szCs w:val="20"/>
        </w:rPr>
        <w:t>Gover</w:t>
      </w:r>
      <w:r w:rsidR="00CD53C5" w:rsidRPr="004D393D">
        <w:rPr>
          <w:rFonts w:ascii="Calibri" w:hAnsi="Calibri" w:cs="Calibri"/>
          <w:sz w:val="22"/>
          <w:szCs w:val="20"/>
        </w:rPr>
        <w:t xml:space="preserve">nors of the University, confers </w:t>
      </w:r>
      <w:r w:rsidR="00CE0963" w:rsidRPr="004D393D">
        <w:rPr>
          <w:rFonts w:ascii="Calibri" w:hAnsi="Calibri" w:cs="Calibri"/>
          <w:sz w:val="22"/>
          <w:szCs w:val="20"/>
        </w:rPr>
        <w:t>authority</w:t>
      </w:r>
      <w:r w:rsidR="0046034B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>upon</w:t>
      </w:r>
      <w:r w:rsidR="005D7EE8" w:rsidRPr="004D393D">
        <w:rPr>
          <w:rFonts w:ascii="Calibri" w:hAnsi="Calibri" w:cs="Calibri"/>
          <w:sz w:val="22"/>
          <w:szCs w:val="20"/>
        </w:rPr>
        <w:t xml:space="preserve"> </w:t>
      </w:r>
      <w:r w:rsidR="003E1EC9">
        <w:rPr>
          <w:rFonts w:ascii="Calibri" w:hAnsi="Calibri" w:cs="Calibri"/>
          <w:sz w:val="22"/>
          <w:szCs w:val="20"/>
        </w:rPr>
        <w:t>B</w:t>
      </w:r>
      <w:r w:rsidR="003E565B" w:rsidRPr="004D393D">
        <w:rPr>
          <w:rFonts w:ascii="Calibri" w:hAnsi="Calibri" w:cs="Calibri"/>
          <w:sz w:val="22"/>
          <w:szCs w:val="20"/>
        </w:rPr>
        <w:t xml:space="preserve">udget </w:t>
      </w:r>
      <w:r w:rsidR="003E1EC9">
        <w:rPr>
          <w:rFonts w:ascii="Calibri" w:hAnsi="Calibri" w:cs="Calibri"/>
          <w:sz w:val="22"/>
          <w:szCs w:val="20"/>
        </w:rPr>
        <w:t>H</w:t>
      </w:r>
      <w:r w:rsidR="00A40B5F" w:rsidRPr="004D393D">
        <w:rPr>
          <w:rFonts w:ascii="Calibri" w:hAnsi="Calibri" w:cs="Calibri"/>
          <w:sz w:val="22"/>
          <w:szCs w:val="20"/>
        </w:rPr>
        <w:t>olders to</w:t>
      </w:r>
      <w:r w:rsidR="00CE0963" w:rsidRPr="004D393D">
        <w:rPr>
          <w:rFonts w:ascii="Calibri" w:hAnsi="Calibri" w:cs="Calibri"/>
          <w:sz w:val="22"/>
          <w:szCs w:val="20"/>
        </w:rPr>
        <w:t xml:space="preserve"> make expenditures within the amounts and scope of the accounts allotted to</w:t>
      </w:r>
      <w:r w:rsidR="00350055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 xml:space="preserve">them in the budget and in accordance with </w:t>
      </w:r>
      <w:r w:rsidR="003E1EC9">
        <w:rPr>
          <w:rFonts w:ascii="Calibri" w:hAnsi="Calibri" w:cs="Calibri"/>
          <w:sz w:val="22"/>
          <w:szCs w:val="20"/>
        </w:rPr>
        <w:t>U</w:t>
      </w:r>
      <w:r w:rsidR="00CE0963" w:rsidRPr="004D393D">
        <w:rPr>
          <w:rFonts w:ascii="Calibri" w:hAnsi="Calibri" w:cs="Calibri"/>
          <w:sz w:val="22"/>
          <w:szCs w:val="20"/>
        </w:rPr>
        <w:t>niversity polic</w:t>
      </w:r>
      <w:r w:rsidR="00CB60B9" w:rsidRPr="004D393D">
        <w:rPr>
          <w:rFonts w:ascii="Calibri" w:hAnsi="Calibri" w:cs="Calibri"/>
          <w:sz w:val="22"/>
          <w:szCs w:val="20"/>
        </w:rPr>
        <w:t>ies</w:t>
      </w:r>
      <w:r w:rsidR="00CE0963" w:rsidRPr="004D393D">
        <w:rPr>
          <w:rFonts w:ascii="Calibri" w:hAnsi="Calibri" w:cs="Calibri"/>
          <w:sz w:val="22"/>
          <w:szCs w:val="20"/>
        </w:rPr>
        <w:t xml:space="preserve"> and</w:t>
      </w:r>
      <w:r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>procedures.</w:t>
      </w:r>
      <w:r w:rsidR="003E1EC9">
        <w:rPr>
          <w:rFonts w:ascii="Calibri" w:hAnsi="Calibri" w:cs="Calibri"/>
          <w:sz w:val="22"/>
          <w:szCs w:val="20"/>
        </w:rPr>
        <w:t xml:space="preserve"> Contracts that result in expenditure of funds must be entered into at fair value terms, unless authorized by the </w:t>
      </w:r>
      <w:r w:rsidR="005D62ED">
        <w:rPr>
          <w:rFonts w:ascii="Calibri" w:hAnsi="Calibri" w:cs="Calibri"/>
          <w:sz w:val="22"/>
          <w:szCs w:val="20"/>
        </w:rPr>
        <w:t>relevant Dean or Vice-President</w:t>
      </w:r>
      <w:r w:rsidR="003E1EC9">
        <w:rPr>
          <w:rFonts w:ascii="Calibri" w:hAnsi="Calibri" w:cs="Calibri"/>
          <w:sz w:val="22"/>
          <w:szCs w:val="20"/>
        </w:rPr>
        <w:t xml:space="preserve">. </w:t>
      </w:r>
    </w:p>
    <w:p w14:paraId="1B1988A6" w14:textId="5F26EF24" w:rsidR="00CE0963" w:rsidRPr="004D393D" w:rsidRDefault="00CD53C5" w:rsidP="00CD53C5">
      <w:pPr>
        <w:ind w:left="1080" w:hanging="360"/>
        <w:rPr>
          <w:rFonts w:ascii="Calibri" w:hAnsi="Calibri" w:cs="Calibri"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ab/>
      </w:r>
      <w:r w:rsidR="008F0C2A" w:rsidRPr="004D393D">
        <w:rPr>
          <w:rFonts w:ascii="Calibri" w:hAnsi="Calibri" w:cs="Calibri"/>
          <w:sz w:val="22"/>
          <w:szCs w:val="20"/>
        </w:rPr>
        <w:t xml:space="preserve"> </w:t>
      </w:r>
    </w:p>
    <w:p w14:paraId="3D9C0CA4" w14:textId="73B126D2" w:rsidR="006E0FA5" w:rsidRPr="004D393D" w:rsidRDefault="00CD53C5" w:rsidP="00CD53C5">
      <w:pPr>
        <w:tabs>
          <w:tab w:val="left" w:pos="1080"/>
        </w:tabs>
        <w:ind w:left="720"/>
        <w:rPr>
          <w:rFonts w:ascii="Calibri" w:hAnsi="Calibri" w:cs="Calibri"/>
          <w:b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ab/>
      </w:r>
      <w:proofErr w:type="gramStart"/>
      <w:r w:rsidR="00B0012A">
        <w:rPr>
          <w:rFonts w:ascii="Calibri" w:hAnsi="Calibri" w:cs="Calibri"/>
          <w:b/>
          <w:sz w:val="22"/>
          <w:szCs w:val="20"/>
        </w:rPr>
        <w:t>5</w:t>
      </w:r>
      <w:r w:rsidRPr="004D393D">
        <w:rPr>
          <w:rFonts w:ascii="Calibri" w:hAnsi="Calibri" w:cs="Calibri"/>
          <w:b/>
          <w:sz w:val="22"/>
          <w:szCs w:val="20"/>
        </w:rPr>
        <w:t>.1.1</w:t>
      </w:r>
      <w:r w:rsidR="006E0FA5" w:rsidRPr="004D393D">
        <w:rPr>
          <w:rFonts w:ascii="Calibri" w:hAnsi="Calibri" w:cs="Calibri"/>
          <w:b/>
          <w:sz w:val="22"/>
          <w:szCs w:val="20"/>
        </w:rPr>
        <w:t xml:space="preserve"> </w:t>
      </w:r>
      <w:r w:rsidRPr="004D393D">
        <w:rPr>
          <w:rFonts w:ascii="Calibri" w:hAnsi="Calibri" w:cs="Calibri"/>
          <w:b/>
          <w:sz w:val="22"/>
          <w:szCs w:val="20"/>
        </w:rPr>
        <w:t xml:space="preserve"> </w:t>
      </w:r>
      <w:r w:rsidR="006E0FA5" w:rsidRPr="004D393D">
        <w:rPr>
          <w:rFonts w:ascii="Calibri" w:hAnsi="Calibri" w:cs="Calibri"/>
          <w:b/>
          <w:sz w:val="22"/>
          <w:szCs w:val="20"/>
        </w:rPr>
        <w:t>General</w:t>
      </w:r>
      <w:proofErr w:type="gramEnd"/>
      <w:r w:rsidR="006E0FA5" w:rsidRPr="004D393D">
        <w:rPr>
          <w:rFonts w:ascii="Calibri" w:hAnsi="Calibri" w:cs="Calibri"/>
          <w:b/>
          <w:sz w:val="22"/>
          <w:szCs w:val="20"/>
        </w:rPr>
        <w:t xml:space="preserve"> Operating Funds</w:t>
      </w:r>
      <w:r w:rsidR="003E1EC9">
        <w:rPr>
          <w:rFonts w:ascii="Calibri" w:hAnsi="Calibri" w:cs="Calibri"/>
          <w:b/>
          <w:sz w:val="22"/>
          <w:szCs w:val="20"/>
        </w:rPr>
        <w:t xml:space="preserve"> and Capital Items </w:t>
      </w:r>
    </w:p>
    <w:p w14:paraId="269DBC3B" w14:textId="5C65A7CE" w:rsidR="00CE0963" w:rsidRPr="004D393D" w:rsidRDefault="00CD53C5" w:rsidP="00CD53C5">
      <w:pPr>
        <w:ind w:left="1440" w:hanging="720"/>
        <w:rPr>
          <w:rFonts w:ascii="Calibri" w:hAnsi="Calibri" w:cs="Calibri"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ab/>
      </w:r>
      <w:r w:rsidR="0053062E" w:rsidRPr="004D393D">
        <w:rPr>
          <w:rFonts w:ascii="Calibri" w:hAnsi="Calibri" w:cs="Calibri"/>
          <w:sz w:val="22"/>
          <w:szCs w:val="20"/>
        </w:rPr>
        <w:t>Authorization</w:t>
      </w:r>
      <w:r w:rsidR="00CE0963" w:rsidRPr="004D393D">
        <w:rPr>
          <w:rFonts w:ascii="Calibri" w:hAnsi="Calibri" w:cs="Calibri"/>
          <w:sz w:val="22"/>
          <w:szCs w:val="20"/>
        </w:rPr>
        <w:t xml:space="preserve"> is granted to the holder of the budget</w:t>
      </w:r>
      <w:r w:rsidR="003E565B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 xml:space="preserve">to expend or release funds. The </w:t>
      </w:r>
      <w:r w:rsidR="003E1EC9">
        <w:rPr>
          <w:rFonts w:ascii="Calibri" w:hAnsi="Calibri" w:cs="Calibri"/>
          <w:sz w:val="22"/>
          <w:szCs w:val="20"/>
        </w:rPr>
        <w:t>budget</w:t>
      </w:r>
      <w:r w:rsidR="00CE0963" w:rsidRPr="004D393D">
        <w:rPr>
          <w:rFonts w:ascii="Calibri" w:hAnsi="Calibri" w:cs="Calibri"/>
          <w:sz w:val="22"/>
          <w:szCs w:val="20"/>
        </w:rPr>
        <w:t xml:space="preserve"> </w:t>
      </w:r>
      <w:r w:rsidRPr="004D393D">
        <w:rPr>
          <w:rFonts w:ascii="Calibri" w:hAnsi="Calibri" w:cs="Calibri"/>
          <w:sz w:val="22"/>
          <w:szCs w:val="20"/>
        </w:rPr>
        <w:t>h</w:t>
      </w:r>
      <w:r w:rsidR="00CE0963" w:rsidRPr="004D393D">
        <w:rPr>
          <w:rFonts w:ascii="Calibri" w:hAnsi="Calibri" w:cs="Calibri"/>
          <w:sz w:val="22"/>
          <w:szCs w:val="20"/>
        </w:rPr>
        <w:t>older must ensure that the expe</w:t>
      </w:r>
      <w:bookmarkStart w:id="1" w:name="_GoBack"/>
      <w:bookmarkEnd w:id="1"/>
      <w:r w:rsidR="00CE0963" w:rsidRPr="004D393D">
        <w:rPr>
          <w:rFonts w:ascii="Calibri" w:hAnsi="Calibri" w:cs="Calibri"/>
          <w:sz w:val="22"/>
          <w:szCs w:val="20"/>
        </w:rPr>
        <w:t xml:space="preserve">nditures are </w:t>
      </w:r>
      <w:r w:rsidR="00D95ECC" w:rsidRPr="004D393D">
        <w:rPr>
          <w:rFonts w:ascii="Calibri" w:hAnsi="Calibri" w:cs="Calibri"/>
          <w:sz w:val="22"/>
          <w:szCs w:val="20"/>
        </w:rPr>
        <w:t xml:space="preserve">necessary </w:t>
      </w:r>
      <w:r w:rsidR="00CE0963" w:rsidRPr="004D393D">
        <w:rPr>
          <w:rFonts w:ascii="Calibri" w:hAnsi="Calibri" w:cs="Calibri"/>
          <w:sz w:val="22"/>
          <w:szCs w:val="20"/>
        </w:rPr>
        <w:t xml:space="preserve">for </w:t>
      </w:r>
      <w:r w:rsidR="00350055" w:rsidRPr="004D393D">
        <w:rPr>
          <w:rFonts w:ascii="Calibri" w:hAnsi="Calibri" w:cs="Calibri"/>
          <w:sz w:val="22"/>
          <w:szCs w:val="20"/>
        </w:rPr>
        <w:t>u</w:t>
      </w:r>
      <w:r w:rsidR="00CE0963" w:rsidRPr="004D393D">
        <w:rPr>
          <w:rFonts w:ascii="Calibri" w:hAnsi="Calibri" w:cs="Calibri"/>
          <w:sz w:val="22"/>
          <w:szCs w:val="20"/>
        </w:rPr>
        <w:t>niversity operations</w:t>
      </w:r>
      <w:r w:rsidR="00EC0A7C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>and are in</w:t>
      </w:r>
      <w:r w:rsidR="00A40B5F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 xml:space="preserve">compliance with </w:t>
      </w:r>
      <w:r w:rsidR="00350055" w:rsidRPr="004D393D">
        <w:rPr>
          <w:rFonts w:ascii="Calibri" w:hAnsi="Calibri" w:cs="Calibri"/>
          <w:sz w:val="22"/>
          <w:szCs w:val="20"/>
        </w:rPr>
        <w:t>u</w:t>
      </w:r>
      <w:r w:rsidR="00CE0963" w:rsidRPr="004D393D">
        <w:rPr>
          <w:rFonts w:ascii="Calibri" w:hAnsi="Calibri" w:cs="Calibri"/>
          <w:sz w:val="22"/>
          <w:szCs w:val="20"/>
        </w:rPr>
        <w:t xml:space="preserve">niversity policy and procedures. </w:t>
      </w:r>
      <w:r w:rsidR="00350055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 xml:space="preserve">Any </w:t>
      </w:r>
      <w:r w:rsidR="00A059A5" w:rsidRPr="004D393D">
        <w:rPr>
          <w:rFonts w:ascii="Calibri" w:hAnsi="Calibri" w:cs="Calibri"/>
          <w:sz w:val="22"/>
          <w:szCs w:val="20"/>
        </w:rPr>
        <w:t>in excess of</w:t>
      </w:r>
      <w:r w:rsidR="00D95ECC" w:rsidRPr="004D393D">
        <w:rPr>
          <w:rFonts w:ascii="Calibri" w:hAnsi="Calibri" w:cs="Calibri"/>
          <w:sz w:val="22"/>
          <w:szCs w:val="20"/>
        </w:rPr>
        <w:t xml:space="preserve"> the </w:t>
      </w:r>
      <w:r w:rsidR="0053062E" w:rsidRPr="004D393D">
        <w:rPr>
          <w:rFonts w:ascii="Calibri" w:hAnsi="Calibri" w:cs="Calibri"/>
          <w:sz w:val="22"/>
          <w:szCs w:val="20"/>
        </w:rPr>
        <w:t xml:space="preserve">budgeted allocations </w:t>
      </w:r>
      <w:r w:rsidR="00393760">
        <w:rPr>
          <w:rFonts w:ascii="Calibri" w:hAnsi="Calibri" w:cs="Calibri"/>
          <w:sz w:val="22"/>
          <w:szCs w:val="20"/>
        </w:rPr>
        <w:t xml:space="preserve">that is not pre-approved by the relevant Dean/ VP </w:t>
      </w:r>
      <w:r w:rsidR="00D95ECC" w:rsidRPr="004D393D">
        <w:rPr>
          <w:rFonts w:ascii="Calibri" w:hAnsi="Calibri" w:cs="Calibri"/>
          <w:sz w:val="22"/>
          <w:szCs w:val="20"/>
        </w:rPr>
        <w:t>become</w:t>
      </w:r>
      <w:r w:rsidR="00350055" w:rsidRPr="004D393D">
        <w:rPr>
          <w:rFonts w:ascii="Calibri" w:hAnsi="Calibri" w:cs="Calibri"/>
          <w:sz w:val="22"/>
          <w:szCs w:val="20"/>
        </w:rPr>
        <w:t>s</w:t>
      </w:r>
      <w:r w:rsidR="00D95ECC" w:rsidRPr="004D393D">
        <w:rPr>
          <w:rFonts w:ascii="Calibri" w:hAnsi="Calibri" w:cs="Calibri"/>
          <w:sz w:val="22"/>
          <w:szCs w:val="20"/>
        </w:rPr>
        <w:t xml:space="preserve"> the responsibility of the</w:t>
      </w:r>
      <w:r w:rsidRPr="004D393D">
        <w:rPr>
          <w:rFonts w:ascii="Calibri" w:hAnsi="Calibri" w:cs="Calibri"/>
          <w:sz w:val="22"/>
          <w:szCs w:val="20"/>
        </w:rPr>
        <w:t xml:space="preserve"> </w:t>
      </w:r>
      <w:r w:rsidR="0053062E" w:rsidRPr="004D393D">
        <w:rPr>
          <w:rFonts w:ascii="Calibri" w:hAnsi="Calibri" w:cs="Calibri"/>
          <w:sz w:val="22"/>
          <w:szCs w:val="20"/>
        </w:rPr>
        <w:t>Faculty/</w:t>
      </w:r>
      <w:r w:rsidR="001576D1" w:rsidRPr="004D393D">
        <w:rPr>
          <w:rFonts w:ascii="Calibri" w:hAnsi="Calibri" w:cs="Calibri"/>
          <w:sz w:val="22"/>
          <w:szCs w:val="20"/>
        </w:rPr>
        <w:t xml:space="preserve">Department. </w:t>
      </w:r>
    </w:p>
    <w:p w14:paraId="0C4AF64F" w14:textId="42E37EB9" w:rsidR="00EC0A7C" w:rsidRPr="004D393D" w:rsidRDefault="00CD53C5" w:rsidP="00CD53C5">
      <w:pPr>
        <w:tabs>
          <w:tab w:val="left" w:pos="1080"/>
          <w:tab w:val="left" w:pos="1440"/>
        </w:tabs>
        <w:ind w:left="720"/>
        <w:rPr>
          <w:rFonts w:ascii="Calibri" w:hAnsi="Calibri" w:cs="Calibri"/>
          <w:b/>
          <w:sz w:val="22"/>
          <w:szCs w:val="20"/>
        </w:rPr>
      </w:pPr>
      <w:r w:rsidRPr="004D393D">
        <w:rPr>
          <w:rFonts w:ascii="Calibri" w:hAnsi="Calibri" w:cs="Calibri"/>
          <w:b/>
          <w:sz w:val="22"/>
          <w:szCs w:val="20"/>
        </w:rPr>
        <w:tab/>
      </w:r>
      <w:proofErr w:type="gramStart"/>
      <w:r w:rsidR="00B0012A">
        <w:rPr>
          <w:rFonts w:ascii="Calibri" w:hAnsi="Calibri" w:cs="Calibri"/>
          <w:b/>
          <w:sz w:val="22"/>
          <w:szCs w:val="20"/>
        </w:rPr>
        <w:t>5</w:t>
      </w:r>
      <w:r w:rsidR="00AE5931" w:rsidRPr="004D393D">
        <w:rPr>
          <w:rFonts w:ascii="Calibri" w:hAnsi="Calibri" w:cs="Calibri"/>
          <w:b/>
          <w:sz w:val="22"/>
          <w:szCs w:val="20"/>
        </w:rPr>
        <w:t>.1.2</w:t>
      </w:r>
      <w:r w:rsidRPr="004D393D">
        <w:rPr>
          <w:rFonts w:ascii="Calibri" w:hAnsi="Calibri" w:cs="Calibri"/>
          <w:b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b/>
          <w:sz w:val="22"/>
          <w:szCs w:val="20"/>
        </w:rPr>
        <w:t xml:space="preserve"> Research</w:t>
      </w:r>
      <w:proofErr w:type="gramEnd"/>
      <w:r w:rsidR="00CE0963" w:rsidRPr="004D393D">
        <w:rPr>
          <w:rFonts w:ascii="Calibri" w:hAnsi="Calibri" w:cs="Calibri"/>
          <w:b/>
          <w:sz w:val="22"/>
          <w:szCs w:val="20"/>
        </w:rPr>
        <w:t xml:space="preserve"> and Trust Funds</w:t>
      </w:r>
    </w:p>
    <w:p w14:paraId="32D7E421" w14:textId="01DE8FF4" w:rsidR="00BF0C71" w:rsidRDefault="00EC0A7C" w:rsidP="00BC6AAC">
      <w:pPr>
        <w:ind w:left="1440" w:hanging="720"/>
        <w:rPr>
          <w:rFonts w:ascii="Calibri" w:hAnsi="Calibri" w:cs="Calibri"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ab/>
      </w:r>
      <w:r w:rsidR="0053062E" w:rsidRPr="004D393D">
        <w:rPr>
          <w:rFonts w:ascii="Calibri" w:hAnsi="Calibri" w:cs="Calibri"/>
          <w:sz w:val="22"/>
          <w:szCs w:val="20"/>
        </w:rPr>
        <w:t>Authorization</w:t>
      </w:r>
      <w:r w:rsidR="00CE0963" w:rsidRPr="004D393D">
        <w:rPr>
          <w:rFonts w:ascii="Calibri" w:hAnsi="Calibri" w:cs="Calibri"/>
          <w:sz w:val="22"/>
          <w:szCs w:val="20"/>
        </w:rPr>
        <w:t xml:space="preserve"> is granted to the Principal Investigator/Trust </w:t>
      </w:r>
      <w:r w:rsidR="003E565B" w:rsidRPr="004D393D">
        <w:rPr>
          <w:rFonts w:ascii="Calibri" w:hAnsi="Calibri" w:cs="Calibri"/>
          <w:sz w:val="22"/>
          <w:szCs w:val="20"/>
        </w:rPr>
        <w:t xml:space="preserve">Holder </w:t>
      </w:r>
      <w:r w:rsidR="00BC1C26">
        <w:rPr>
          <w:rFonts w:ascii="Calibri" w:hAnsi="Calibri" w:cs="Calibri"/>
          <w:sz w:val="22"/>
          <w:szCs w:val="20"/>
        </w:rPr>
        <w:t xml:space="preserve">(PI) </w:t>
      </w:r>
      <w:r w:rsidR="003E565B" w:rsidRPr="004D393D">
        <w:rPr>
          <w:rFonts w:ascii="Calibri" w:hAnsi="Calibri" w:cs="Calibri"/>
          <w:sz w:val="22"/>
          <w:szCs w:val="20"/>
        </w:rPr>
        <w:t>to</w:t>
      </w:r>
      <w:r w:rsidR="00CE0963" w:rsidRPr="004D393D">
        <w:rPr>
          <w:rFonts w:ascii="Calibri" w:hAnsi="Calibri" w:cs="Calibri"/>
          <w:sz w:val="22"/>
          <w:szCs w:val="20"/>
        </w:rPr>
        <w:t xml:space="preserve"> expend or release funds. </w:t>
      </w:r>
      <w:r w:rsidR="00BC1C26">
        <w:rPr>
          <w:rFonts w:ascii="Calibri" w:hAnsi="Calibri" w:cs="Calibri"/>
          <w:sz w:val="22"/>
          <w:szCs w:val="20"/>
        </w:rPr>
        <w:t>The PI</w:t>
      </w:r>
      <w:r w:rsidR="00CE0963" w:rsidRPr="004D393D">
        <w:rPr>
          <w:rFonts w:ascii="Calibri" w:hAnsi="Calibri" w:cs="Calibri"/>
          <w:sz w:val="22"/>
          <w:szCs w:val="20"/>
        </w:rPr>
        <w:t xml:space="preserve"> must</w:t>
      </w:r>
      <w:r w:rsidR="00A40B5F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 xml:space="preserve">ensure that the </w:t>
      </w:r>
      <w:r w:rsidR="00A40B5F" w:rsidRPr="004D393D">
        <w:rPr>
          <w:rFonts w:ascii="Calibri" w:hAnsi="Calibri" w:cs="Calibri"/>
          <w:sz w:val="22"/>
          <w:szCs w:val="20"/>
        </w:rPr>
        <w:t>e</w:t>
      </w:r>
      <w:r w:rsidR="00CE0963" w:rsidRPr="004D393D">
        <w:rPr>
          <w:rFonts w:ascii="Calibri" w:hAnsi="Calibri" w:cs="Calibri"/>
          <w:sz w:val="22"/>
          <w:szCs w:val="20"/>
        </w:rPr>
        <w:t xml:space="preserve">xpenditures are required for and are in compliance with </w:t>
      </w:r>
      <w:r w:rsidR="00350055" w:rsidRPr="004D393D">
        <w:rPr>
          <w:rFonts w:ascii="Calibri" w:hAnsi="Calibri" w:cs="Calibri"/>
          <w:sz w:val="22"/>
          <w:szCs w:val="20"/>
        </w:rPr>
        <w:t>u</w:t>
      </w:r>
      <w:r w:rsidR="00CE0963" w:rsidRPr="004D393D">
        <w:rPr>
          <w:rFonts w:ascii="Calibri" w:hAnsi="Calibri" w:cs="Calibri"/>
          <w:sz w:val="22"/>
          <w:szCs w:val="20"/>
        </w:rPr>
        <w:t>niversity polic</w:t>
      </w:r>
      <w:r w:rsidR="003E565B" w:rsidRPr="004D393D">
        <w:rPr>
          <w:rFonts w:ascii="Calibri" w:hAnsi="Calibri" w:cs="Calibri"/>
          <w:sz w:val="22"/>
          <w:szCs w:val="20"/>
        </w:rPr>
        <w:t>ies</w:t>
      </w:r>
      <w:r w:rsidR="00CE0963" w:rsidRPr="004D393D">
        <w:rPr>
          <w:rFonts w:ascii="Calibri" w:hAnsi="Calibri" w:cs="Calibri"/>
          <w:sz w:val="22"/>
          <w:szCs w:val="20"/>
        </w:rPr>
        <w:t xml:space="preserve"> and</w:t>
      </w:r>
      <w:r w:rsidR="00CD53C5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>procedures</w:t>
      </w:r>
      <w:r w:rsidR="00BC1C26">
        <w:rPr>
          <w:rFonts w:ascii="Calibri" w:hAnsi="Calibri" w:cs="Calibri"/>
          <w:sz w:val="22"/>
          <w:szCs w:val="20"/>
        </w:rPr>
        <w:t xml:space="preserve"> in addition to any </w:t>
      </w:r>
      <w:r w:rsidR="00B0012A">
        <w:rPr>
          <w:rFonts w:ascii="Calibri" w:hAnsi="Calibri" w:cs="Calibri"/>
          <w:sz w:val="22"/>
          <w:szCs w:val="20"/>
        </w:rPr>
        <w:t xml:space="preserve">other </w:t>
      </w:r>
      <w:r w:rsidR="00BC1C26">
        <w:rPr>
          <w:rFonts w:ascii="Calibri" w:hAnsi="Calibri" w:cs="Calibri"/>
          <w:sz w:val="22"/>
          <w:szCs w:val="20"/>
        </w:rPr>
        <w:t xml:space="preserve">externally imposed terms and </w:t>
      </w:r>
      <w:proofErr w:type="gramStart"/>
      <w:r w:rsidR="00BC1C26">
        <w:rPr>
          <w:rFonts w:ascii="Calibri" w:hAnsi="Calibri" w:cs="Calibri"/>
          <w:sz w:val="22"/>
          <w:szCs w:val="20"/>
        </w:rPr>
        <w:t>conditions</w:t>
      </w:r>
      <w:r w:rsidR="00CE0963" w:rsidRPr="004D393D">
        <w:rPr>
          <w:rFonts w:ascii="Calibri" w:hAnsi="Calibri" w:cs="Calibri"/>
          <w:sz w:val="22"/>
          <w:szCs w:val="20"/>
        </w:rPr>
        <w:t>..</w:t>
      </w:r>
      <w:proofErr w:type="gramEnd"/>
      <w:r w:rsidR="00CE0963" w:rsidRPr="004D393D">
        <w:rPr>
          <w:rFonts w:ascii="Calibri" w:hAnsi="Calibri" w:cs="Calibri"/>
          <w:sz w:val="22"/>
          <w:szCs w:val="20"/>
        </w:rPr>
        <w:t xml:space="preserve"> </w:t>
      </w:r>
      <w:r w:rsidR="00BC1C26">
        <w:rPr>
          <w:rFonts w:ascii="Calibri" w:hAnsi="Calibri" w:cs="Calibri"/>
          <w:sz w:val="22"/>
          <w:szCs w:val="20"/>
        </w:rPr>
        <w:t xml:space="preserve">All research expenditures are to be approved by the PI and their </w:t>
      </w:r>
      <w:r w:rsidR="00B0012A">
        <w:rPr>
          <w:rFonts w:ascii="Calibri" w:hAnsi="Calibri" w:cs="Calibri"/>
          <w:sz w:val="22"/>
          <w:szCs w:val="20"/>
        </w:rPr>
        <w:t>D</w:t>
      </w:r>
      <w:r w:rsidR="00BC1C26">
        <w:rPr>
          <w:rFonts w:ascii="Calibri" w:hAnsi="Calibri" w:cs="Calibri"/>
          <w:sz w:val="22"/>
          <w:szCs w:val="20"/>
        </w:rPr>
        <w:t xml:space="preserve">ean. Deans can only delegate to individuals who have the ability to attest to the relevance of the expenditure. </w:t>
      </w:r>
      <w:r w:rsidR="00CE0963" w:rsidRPr="004D393D">
        <w:rPr>
          <w:rFonts w:ascii="Calibri" w:hAnsi="Calibri" w:cs="Calibri"/>
          <w:sz w:val="22"/>
          <w:szCs w:val="20"/>
        </w:rPr>
        <w:t>Any expenditure that may be</w:t>
      </w:r>
      <w:r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>deemed ineligible or inappropriate becomes the</w:t>
      </w:r>
      <w:r w:rsidR="006E0FA5" w:rsidRPr="004D393D">
        <w:rPr>
          <w:rFonts w:ascii="Calibri" w:hAnsi="Calibri" w:cs="Calibri"/>
          <w:sz w:val="22"/>
          <w:szCs w:val="20"/>
        </w:rPr>
        <w:t xml:space="preserve"> </w:t>
      </w:r>
      <w:r w:rsidR="00CE0963" w:rsidRPr="004D393D">
        <w:rPr>
          <w:rFonts w:ascii="Calibri" w:hAnsi="Calibri" w:cs="Calibri"/>
          <w:sz w:val="22"/>
          <w:szCs w:val="20"/>
        </w:rPr>
        <w:t>responsibility of the</w:t>
      </w:r>
      <w:r w:rsidR="00A40B5F" w:rsidRPr="004D393D">
        <w:rPr>
          <w:rFonts w:ascii="Calibri" w:hAnsi="Calibri" w:cs="Calibri"/>
          <w:sz w:val="22"/>
          <w:szCs w:val="20"/>
        </w:rPr>
        <w:t xml:space="preserve"> </w:t>
      </w:r>
      <w:r w:rsidR="00BC1C26">
        <w:rPr>
          <w:rFonts w:ascii="Calibri" w:hAnsi="Calibri" w:cs="Calibri"/>
          <w:sz w:val="22"/>
          <w:szCs w:val="20"/>
        </w:rPr>
        <w:t>PI</w:t>
      </w:r>
      <w:r w:rsidR="00CE0963" w:rsidRPr="004D393D">
        <w:rPr>
          <w:rFonts w:ascii="Calibri" w:hAnsi="Calibri" w:cs="Calibri"/>
          <w:sz w:val="22"/>
          <w:szCs w:val="20"/>
        </w:rPr>
        <w:t>.</w:t>
      </w:r>
    </w:p>
    <w:p w14:paraId="037BD604" w14:textId="2274236B" w:rsidR="00446C9C" w:rsidRPr="006067A2" w:rsidRDefault="00A16C9F" w:rsidP="006067A2">
      <w:pPr>
        <w:rPr>
          <w:rFonts w:ascii="Calibri" w:hAnsi="Calibri" w:cs="Calibri"/>
          <w:b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 xml:space="preserve">                     </w:t>
      </w:r>
      <w:r w:rsidR="00EB3A5C" w:rsidRPr="006067A2">
        <w:rPr>
          <w:rFonts w:ascii="Calibri" w:hAnsi="Calibri" w:cs="Calibri"/>
          <w:b/>
          <w:sz w:val="22"/>
          <w:szCs w:val="20"/>
        </w:rPr>
        <w:t xml:space="preserve">5.1.3 Approval of expenditures </w:t>
      </w:r>
    </w:p>
    <w:p w14:paraId="1B8B9124" w14:textId="5C9346B3" w:rsidR="00EB3A5C" w:rsidRDefault="00EB3A5C" w:rsidP="006067A2">
      <w:pPr>
        <w:ind w:left="1440"/>
        <w:rPr>
          <w:rFonts w:ascii="Calibri" w:hAnsi="Calibri" w:cs="Calibri"/>
          <w:sz w:val="22"/>
          <w:szCs w:val="20"/>
        </w:rPr>
      </w:pPr>
      <w:r>
        <w:rPr>
          <w:rFonts w:ascii="Calibri" w:hAnsi="Calibri" w:cs="Calibri"/>
          <w:sz w:val="22"/>
          <w:szCs w:val="20"/>
        </w:rPr>
        <w:t>As set out in Appendix A, approval of expenditures requires two approvers (1</w:t>
      </w:r>
      <w:r w:rsidRPr="006067A2">
        <w:rPr>
          <w:rFonts w:ascii="Calibri" w:hAnsi="Calibri" w:cs="Calibri"/>
          <w:sz w:val="22"/>
          <w:szCs w:val="20"/>
          <w:vertAlign w:val="superscript"/>
        </w:rPr>
        <w:t>st</w:t>
      </w:r>
      <w:r>
        <w:rPr>
          <w:rFonts w:ascii="Calibri" w:hAnsi="Calibri" w:cs="Calibri"/>
          <w:sz w:val="22"/>
          <w:szCs w:val="20"/>
        </w:rPr>
        <w:t xml:space="preserve"> and 2</w:t>
      </w:r>
      <w:r w:rsidRPr="006067A2">
        <w:rPr>
          <w:rFonts w:ascii="Calibri" w:hAnsi="Calibri" w:cs="Calibri"/>
          <w:sz w:val="22"/>
          <w:szCs w:val="20"/>
          <w:vertAlign w:val="superscript"/>
        </w:rPr>
        <w:t>nd</w:t>
      </w:r>
      <w:r>
        <w:rPr>
          <w:rFonts w:ascii="Calibri" w:hAnsi="Calibri" w:cs="Calibri"/>
          <w:sz w:val="22"/>
          <w:szCs w:val="20"/>
        </w:rPr>
        <w:t xml:space="preserve"> approver).  This dual approval process exists to provide assurance that the expenditure is relevant, appropriate, falls within University policies and that due diligence has been applied. Appendix A sets out who may acta as the 1</w:t>
      </w:r>
      <w:r w:rsidRPr="006067A2">
        <w:rPr>
          <w:rFonts w:ascii="Calibri" w:hAnsi="Calibri" w:cs="Calibri"/>
          <w:sz w:val="22"/>
          <w:szCs w:val="20"/>
          <w:vertAlign w:val="superscript"/>
        </w:rPr>
        <w:t>st</w:t>
      </w:r>
      <w:r>
        <w:rPr>
          <w:rFonts w:ascii="Calibri" w:hAnsi="Calibri" w:cs="Calibri"/>
          <w:sz w:val="22"/>
          <w:szCs w:val="20"/>
        </w:rPr>
        <w:t xml:space="preserve"> and 2</w:t>
      </w:r>
      <w:r w:rsidRPr="006067A2">
        <w:rPr>
          <w:rFonts w:ascii="Calibri" w:hAnsi="Calibri" w:cs="Calibri"/>
          <w:sz w:val="22"/>
          <w:szCs w:val="20"/>
          <w:vertAlign w:val="superscript"/>
        </w:rPr>
        <w:t>nd</w:t>
      </w:r>
      <w:r>
        <w:rPr>
          <w:rFonts w:ascii="Calibri" w:hAnsi="Calibri" w:cs="Calibri"/>
          <w:sz w:val="22"/>
          <w:szCs w:val="20"/>
        </w:rPr>
        <w:t xml:space="preserve"> approver.  </w:t>
      </w:r>
    </w:p>
    <w:p w14:paraId="07AC8A29" w14:textId="013D09FF" w:rsidR="00B0012A" w:rsidRDefault="00B0012A" w:rsidP="00BC6AAC">
      <w:pPr>
        <w:ind w:left="1440" w:hanging="720"/>
        <w:rPr>
          <w:rFonts w:ascii="Calibri" w:hAnsi="Calibri" w:cs="Calibri"/>
          <w:sz w:val="22"/>
          <w:szCs w:val="20"/>
        </w:rPr>
      </w:pPr>
    </w:p>
    <w:p w14:paraId="1F579F01" w14:textId="447481AA" w:rsidR="00CD53C5" w:rsidRPr="004D393D" w:rsidRDefault="009E74EC" w:rsidP="00CD53C5">
      <w:pPr>
        <w:tabs>
          <w:tab w:val="left" w:pos="720"/>
          <w:tab w:val="left" w:pos="1080"/>
          <w:tab w:val="left" w:pos="1440"/>
        </w:tabs>
        <w:ind w:left="720"/>
        <w:rPr>
          <w:b/>
          <w:sz w:val="22"/>
        </w:rPr>
      </w:pPr>
      <w:r>
        <w:rPr>
          <w:b/>
          <w:sz w:val="22"/>
        </w:rPr>
        <w:t>5</w:t>
      </w:r>
      <w:r w:rsidR="00BC6AAC" w:rsidRPr="004D393D">
        <w:rPr>
          <w:b/>
          <w:sz w:val="22"/>
        </w:rPr>
        <w:t>.2</w:t>
      </w:r>
      <w:r w:rsidR="00CD53C5" w:rsidRPr="004D393D">
        <w:rPr>
          <w:b/>
          <w:sz w:val="22"/>
        </w:rPr>
        <w:tab/>
      </w:r>
      <w:r w:rsidR="00CD53C5" w:rsidRPr="004D393D">
        <w:rPr>
          <w:b/>
          <w:sz w:val="22"/>
        </w:rPr>
        <w:tab/>
      </w:r>
      <w:r w:rsidR="007E3238">
        <w:rPr>
          <w:b/>
          <w:sz w:val="22"/>
        </w:rPr>
        <w:t xml:space="preserve">Expenditure Submission and </w:t>
      </w:r>
      <w:r w:rsidR="001D04FC" w:rsidRPr="004D393D">
        <w:rPr>
          <w:b/>
          <w:sz w:val="22"/>
        </w:rPr>
        <w:t>Internal Control</w:t>
      </w:r>
    </w:p>
    <w:p w14:paraId="48C60188" w14:textId="236826A4" w:rsidR="001D04FC" w:rsidRPr="004D393D" w:rsidRDefault="00140809">
      <w:pPr>
        <w:tabs>
          <w:tab w:val="left" w:pos="1080"/>
          <w:tab w:val="left" w:pos="1440"/>
        </w:tabs>
        <w:ind w:left="1440" w:hanging="720"/>
        <w:rPr>
          <w:sz w:val="22"/>
        </w:rPr>
      </w:pPr>
      <w:r w:rsidRPr="004D393D">
        <w:rPr>
          <w:sz w:val="22"/>
        </w:rPr>
        <w:tab/>
      </w:r>
      <w:r w:rsidR="001D04FC" w:rsidRPr="004D393D">
        <w:rPr>
          <w:sz w:val="22"/>
        </w:rPr>
        <w:t xml:space="preserve">The </w:t>
      </w:r>
      <w:r w:rsidR="009E74EC">
        <w:rPr>
          <w:sz w:val="22"/>
        </w:rPr>
        <w:t xml:space="preserve">dual approval </w:t>
      </w:r>
      <w:r w:rsidR="001D04FC" w:rsidRPr="004D393D">
        <w:rPr>
          <w:sz w:val="22"/>
        </w:rPr>
        <w:t xml:space="preserve">process </w:t>
      </w:r>
      <w:r w:rsidR="009E74EC">
        <w:rPr>
          <w:sz w:val="22"/>
        </w:rPr>
        <w:t xml:space="preserve">is intended to: </w:t>
      </w:r>
    </w:p>
    <w:p w14:paraId="6F3588A8" w14:textId="6D9F2396" w:rsidR="00F97856" w:rsidRPr="004D393D" w:rsidRDefault="00F97856" w:rsidP="00F97856">
      <w:pPr>
        <w:pStyle w:val="ListParagraph"/>
        <w:numPr>
          <w:ilvl w:val="0"/>
          <w:numId w:val="20"/>
        </w:numPr>
        <w:ind w:left="1800"/>
        <w:contextualSpacing w:val="0"/>
        <w:rPr>
          <w:rFonts w:ascii="Calibri" w:hAnsi="Calibri" w:cs="Calibri"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>Ensures expenditures are in compliance with, and processed in compliance with, university policies and procedures and, if applicable, in compliance with external granting agency/donor terms and conditions.</w:t>
      </w:r>
    </w:p>
    <w:p w14:paraId="73C89575" w14:textId="77777777" w:rsidR="001D04FC" w:rsidRPr="004D393D" w:rsidRDefault="001D04FC" w:rsidP="00CD53C5">
      <w:pPr>
        <w:pStyle w:val="ListParagraph"/>
        <w:numPr>
          <w:ilvl w:val="0"/>
          <w:numId w:val="20"/>
        </w:numPr>
        <w:ind w:left="1800"/>
        <w:contextualSpacing w:val="0"/>
        <w:rPr>
          <w:rFonts w:ascii="Calibri" w:hAnsi="Calibri" w:cs="Calibri"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>Ensures the appropriate supporting documentation is attached or available (on file, etc</w:t>
      </w:r>
      <w:r w:rsidR="00350055" w:rsidRPr="004D393D">
        <w:rPr>
          <w:rFonts w:ascii="Calibri" w:hAnsi="Calibri" w:cs="Calibri"/>
          <w:sz w:val="22"/>
          <w:szCs w:val="20"/>
        </w:rPr>
        <w:t>.</w:t>
      </w:r>
      <w:r w:rsidRPr="004D393D">
        <w:rPr>
          <w:rFonts w:ascii="Calibri" w:hAnsi="Calibri" w:cs="Calibri"/>
          <w:sz w:val="22"/>
          <w:szCs w:val="20"/>
        </w:rPr>
        <w:t>).</w:t>
      </w:r>
    </w:p>
    <w:p w14:paraId="231C0279" w14:textId="47EFDDDA" w:rsidR="001D04FC" w:rsidRPr="00F97856" w:rsidRDefault="001D04FC" w:rsidP="00F97856">
      <w:pPr>
        <w:pStyle w:val="ListParagraph"/>
        <w:numPr>
          <w:ilvl w:val="0"/>
          <w:numId w:val="20"/>
        </w:numPr>
        <w:ind w:left="1800"/>
        <w:contextualSpacing w:val="0"/>
        <w:rPr>
          <w:rFonts w:ascii="Calibri" w:hAnsi="Calibri" w:cs="Calibri"/>
          <w:sz w:val="22"/>
          <w:szCs w:val="20"/>
        </w:rPr>
      </w:pPr>
      <w:r w:rsidRPr="00F97856">
        <w:rPr>
          <w:rFonts w:ascii="Calibri" w:hAnsi="Calibri" w:cs="Calibri"/>
          <w:sz w:val="22"/>
          <w:szCs w:val="20"/>
        </w:rPr>
        <w:lastRenderedPageBreak/>
        <w:t xml:space="preserve">Confirms authorization signature (signature verification). </w:t>
      </w:r>
      <w:r w:rsidR="00350055" w:rsidRPr="00F97856">
        <w:rPr>
          <w:rFonts w:ascii="Calibri" w:hAnsi="Calibri" w:cs="Calibri"/>
          <w:sz w:val="22"/>
          <w:szCs w:val="20"/>
        </w:rPr>
        <w:t xml:space="preserve"> </w:t>
      </w:r>
    </w:p>
    <w:p w14:paraId="1FD190AF" w14:textId="02EB3208" w:rsidR="001D04FC" w:rsidRPr="004D393D" w:rsidRDefault="001D04FC" w:rsidP="006067A2">
      <w:pPr>
        <w:pStyle w:val="ListParagraph"/>
        <w:ind w:left="1800"/>
        <w:contextualSpacing w:val="0"/>
        <w:rPr>
          <w:rFonts w:ascii="Calibri" w:hAnsi="Calibri" w:cs="Calibri"/>
          <w:sz w:val="22"/>
          <w:szCs w:val="20"/>
        </w:rPr>
      </w:pPr>
      <w:r w:rsidRPr="00547B2E">
        <w:rPr>
          <w:rFonts w:ascii="Calibri" w:hAnsi="Calibri" w:cs="Calibri"/>
          <w:sz w:val="22"/>
          <w:szCs w:val="20"/>
        </w:rPr>
        <w:t>Ensures funds are available within the allocated budget amounts</w:t>
      </w:r>
      <w:r w:rsidR="00F97856" w:rsidRPr="00547B2E">
        <w:rPr>
          <w:rFonts w:ascii="Calibri" w:hAnsi="Calibri" w:cs="Calibri"/>
          <w:sz w:val="22"/>
          <w:szCs w:val="20"/>
        </w:rPr>
        <w:t>, Verifies correct account coding and ensures expenditure commitment does not exceed project/grant end date</w:t>
      </w:r>
      <w:r w:rsidRPr="00547B2E">
        <w:rPr>
          <w:rFonts w:ascii="Calibri" w:hAnsi="Calibri" w:cs="Calibri"/>
          <w:sz w:val="22"/>
          <w:szCs w:val="20"/>
        </w:rPr>
        <w:t>.</w:t>
      </w:r>
      <w:r w:rsidR="00CE0963" w:rsidRPr="004D393D">
        <w:rPr>
          <w:rFonts w:ascii="Calibri" w:hAnsi="Calibri" w:cs="Calibri"/>
          <w:sz w:val="22"/>
          <w:szCs w:val="20"/>
        </w:rPr>
        <w:br/>
      </w:r>
    </w:p>
    <w:p w14:paraId="64B07112" w14:textId="72C54CEC" w:rsidR="00F97856" w:rsidRPr="00F97856" w:rsidRDefault="00A16C9F" w:rsidP="00F97856">
      <w:pPr>
        <w:ind w:right="1138"/>
        <w:rPr>
          <w:rFonts w:eastAsiaTheme="minorHAnsi"/>
          <w:sz w:val="22"/>
        </w:rPr>
      </w:pPr>
      <w:r>
        <w:rPr>
          <w:rFonts w:ascii="Calibri" w:hAnsi="Calibri" w:cs="Calibri"/>
          <w:b/>
          <w:sz w:val="22"/>
          <w:szCs w:val="20"/>
        </w:rPr>
        <w:t xml:space="preserve">                 </w:t>
      </w:r>
      <w:r w:rsidR="009E74EC">
        <w:rPr>
          <w:rFonts w:ascii="Calibri" w:hAnsi="Calibri" w:cs="Calibri"/>
          <w:b/>
          <w:sz w:val="22"/>
          <w:szCs w:val="20"/>
        </w:rPr>
        <w:t>5</w:t>
      </w:r>
      <w:r w:rsidR="00F97856" w:rsidRPr="00F97856">
        <w:rPr>
          <w:rFonts w:ascii="Calibri" w:hAnsi="Calibri" w:cs="Calibri"/>
          <w:b/>
          <w:sz w:val="22"/>
          <w:szCs w:val="20"/>
        </w:rPr>
        <w:t>.3</w:t>
      </w:r>
      <w:r w:rsidR="00F97856" w:rsidRPr="00F97856">
        <w:rPr>
          <w:rFonts w:ascii="Calibri" w:hAnsi="Calibri" w:cs="Calibri"/>
          <w:b/>
          <w:sz w:val="22"/>
          <w:szCs w:val="20"/>
        </w:rPr>
        <w:tab/>
      </w:r>
      <w:r w:rsidR="00F97856" w:rsidRPr="006067A2">
        <w:rPr>
          <w:rFonts w:eastAsiaTheme="minorHAnsi"/>
          <w:b/>
          <w:sz w:val="22"/>
        </w:rPr>
        <w:t>Approver functions and responsibility</w:t>
      </w:r>
      <w:r w:rsidR="00F97856">
        <w:rPr>
          <w:rFonts w:eastAsiaTheme="minorHAnsi"/>
          <w:sz w:val="22"/>
        </w:rPr>
        <w:tab/>
      </w:r>
      <w:r w:rsidR="00F97856" w:rsidRPr="00F97856">
        <w:rPr>
          <w:rFonts w:eastAsiaTheme="minorHAnsi"/>
          <w:sz w:val="22"/>
        </w:rPr>
        <w:t xml:space="preserve"> </w:t>
      </w:r>
    </w:p>
    <w:p w14:paraId="5FEEAB22" w14:textId="77777777" w:rsidR="00F97856" w:rsidRDefault="00F97856" w:rsidP="00F97856">
      <w:pPr>
        <w:ind w:right="1138"/>
        <w:rPr>
          <w:rFonts w:eastAsiaTheme="minorHAnsi"/>
          <w:sz w:val="22"/>
        </w:rPr>
      </w:pPr>
    </w:p>
    <w:p w14:paraId="62283142" w14:textId="77777777" w:rsidR="00F97856" w:rsidRPr="00F97856" w:rsidRDefault="00F97856" w:rsidP="00F97856">
      <w:pPr>
        <w:widowControl w:val="0"/>
        <w:spacing w:after="0"/>
        <w:ind w:left="1170" w:right="1138"/>
        <w:rPr>
          <w:rFonts w:ascii="Calibri" w:eastAsia="Calibri" w:hAnsi="Calibri"/>
          <w:sz w:val="22"/>
        </w:rPr>
      </w:pPr>
      <w:r w:rsidRPr="00F97856">
        <w:rPr>
          <w:rFonts w:ascii="Calibri" w:eastAsia="Calibri" w:hAnsi="Calibri"/>
          <w:sz w:val="22"/>
        </w:rPr>
        <w:t>The 1</w:t>
      </w:r>
      <w:r w:rsidRPr="00F97856">
        <w:rPr>
          <w:rFonts w:ascii="Calibri" w:eastAsia="Calibri" w:hAnsi="Calibri"/>
          <w:sz w:val="22"/>
          <w:vertAlign w:val="superscript"/>
        </w:rPr>
        <w:t>st</w:t>
      </w:r>
      <w:r w:rsidRPr="00F97856">
        <w:rPr>
          <w:rFonts w:ascii="Calibri" w:eastAsia="Calibri" w:hAnsi="Calibri"/>
          <w:sz w:val="22"/>
        </w:rPr>
        <w:t xml:space="preserve"> approver performs the following functions: </w:t>
      </w:r>
    </w:p>
    <w:p w14:paraId="3AF69F1F" w14:textId="77777777" w:rsidR="00F97856" w:rsidRPr="00F97856" w:rsidRDefault="00F97856" w:rsidP="00F97856">
      <w:pPr>
        <w:widowControl w:val="0"/>
        <w:spacing w:after="0"/>
        <w:ind w:left="1170" w:right="1138"/>
        <w:rPr>
          <w:rFonts w:ascii="Calibri" w:eastAsia="Calibri" w:hAnsi="Calibri"/>
          <w:sz w:val="22"/>
        </w:rPr>
      </w:pPr>
    </w:p>
    <w:p w14:paraId="2243428D" w14:textId="77777777" w:rsidR="00F97856" w:rsidRPr="00F97856" w:rsidRDefault="00F97856" w:rsidP="00F97856">
      <w:pPr>
        <w:widowControl w:val="0"/>
        <w:numPr>
          <w:ilvl w:val="0"/>
          <w:numId w:val="26"/>
        </w:numPr>
        <w:spacing w:after="0"/>
        <w:ind w:left="1620" w:right="1138"/>
        <w:rPr>
          <w:rFonts w:ascii="Calibri" w:eastAsia="Calibri" w:hAnsi="Calibri"/>
          <w:sz w:val="22"/>
        </w:rPr>
      </w:pPr>
      <w:r w:rsidRPr="00F97856">
        <w:rPr>
          <w:rFonts w:ascii="Calibri" w:eastAsia="Calibri" w:hAnsi="Calibri"/>
          <w:sz w:val="22"/>
        </w:rPr>
        <w:t>Assesses whether the Expenditure meets the objectives of the University,</w:t>
      </w:r>
    </w:p>
    <w:p w14:paraId="095CF058" w14:textId="77777777" w:rsidR="00F97856" w:rsidRPr="00F97856" w:rsidRDefault="00F97856" w:rsidP="00F97856">
      <w:pPr>
        <w:widowControl w:val="0"/>
        <w:numPr>
          <w:ilvl w:val="0"/>
          <w:numId w:val="26"/>
        </w:numPr>
        <w:spacing w:after="0"/>
        <w:ind w:left="1620" w:right="1138"/>
        <w:rPr>
          <w:rFonts w:ascii="Calibri" w:eastAsia="Calibri" w:hAnsi="Calibri"/>
          <w:sz w:val="22"/>
        </w:rPr>
      </w:pPr>
      <w:r w:rsidRPr="00F97856">
        <w:rPr>
          <w:rFonts w:ascii="Calibri" w:eastAsia="Calibri" w:hAnsi="Calibri"/>
          <w:sz w:val="22"/>
        </w:rPr>
        <w:t>Ensures that the Expenditure complies with all University policies, and</w:t>
      </w:r>
    </w:p>
    <w:p w14:paraId="4D7D20A2" w14:textId="77777777" w:rsidR="00F97856" w:rsidRPr="00F97856" w:rsidRDefault="00F97856" w:rsidP="00F97856">
      <w:pPr>
        <w:widowControl w:val="0"/>
        <w:numPr>
          <w:ilvl w:val="0"/>
          <w:numId w:val="26"/>
        </w:numPr>
        <w:spacing w:after="0"/>
        <w:ind w:left="1620" w:right="1138"/>
        <w:rPr>
          <w:rFonts w:ascii="Calibri" w:eastAsia="Calibri" w:hAnsi="Calibri"/>
          <w:sz w:val="22"/>
        </w:rPr>
      </w:pPr>
      <w:r w:rsidRPr="00F97856">
        <w:rPr>
          <w:rFonts w:ascii="Calibri" w:eastAsia="Calibri" w:hAnsi="Calibri"/>
          <w:sz w:val="22"/>
        </w:rPr>
        <w:t xml:space="preserve">Ensures that the sufficient funding exists, or will exist, to support all Expenditures. </w:t>
      </w:r>
    </w:p>
    <w:p w14:paraId="5459B753" w14:textId="77777777" w:rsidR="00F97856" w:rsidRPr="00F97856" w:rsidRDefault="00F97856" w:rsidP="00F97856">
      <w:pPr>
        <w:widowControl w:val="0"/>
        <w:spacing w:after="0"/>
        <w:ind w:left="1620" w:right="1138"/>
        <w:rPr>
          <w:rFonts w:ascii="Calibri" w:eastAsia="Calibri" w:hAnsi="Calibri"/>
          <w:sz w:val="22"/>
        </w:rPr>
      </w:pPr>
    </w:p>
    <w:p w14:paraId="10DAC824" w14:textId="77777777" w:rsidR="00F97856" w:rsidRPr="00F97856" w:rsidRDefault="00F97856" w:rsidP="00F97856">
      <w:pPr>
        <w:widowControl w:val="0"/>
        <w:spacing w:after="0"/>
        <w:ind w:left="1170" w:right="1138" w:firstLine="260"/>
        <w:rPr>
          <w:rFonts w:ascii="Calibri" w:eastAsia="Calibri" w:hAnsi="Calibri"/>
          <w:sz w:val="22"/>
        </w:rPr>
      </w:pPr>
      <w:r w:rsidRPr="00F97856">
        <w:rPr>
          <w:rFonts w:ascii="Calibri" w:eastAsia="Calibri" w:hAnsi="Calibri"/>
          <w:sz w:val="22"/>
        </w:rPr>
        <w:t>The 2</w:t>
      </w:r>
      <w:r w:rsidRPr="00F97856">
        <w:rPr>
          <w:rFonts w:ascii="Calibri" w:eastAsia="Calibri" w:hAnsi="Calibri"/>
          <w:sz w:val="22"/>
          <w:vertAlign w:val="superscript"/>
        </w:rPr>
        <w:t>nd</w:t>
      </w:r>
      <w:r w:rsidRPr="00F97856">
        <w:rPr>
          <w:rFonts w:ascii="Calibri" w:eastAsia="Calibri" w:hAnsi="Calibri"/>
          <w:sz w:val="22"/>
        </w:rPr>
        <w:t xml:space="preserve"> approver performs the following functions:</w:t>
      </w:r>
    </w:p>
    <w:p w14:paraId="343CD084" w14:textId="77777777" w:rsidR="00F97856" w:rsidRPr="00F97856" w:rsidRDefault="00F97856" w:rsidP="00F97856">
      <w:pPr>
        <w:widowControl w:val="0"/>
        <w:spacing w:after="0"/>
        <w:ind w:left="1170" w:right="1138"/>
        <w:rPr>
          <w:rFonts w:ascii="Calibri" w:eastAsia="Calibri" w:hAnsi="Calibri"/>
          <w:sz w:val="22"/>
        </w:rPr>
      </w:pPr>
    </w:p>
    <w:p w14:paraId="1C181DB7" w14:textId="77777777" w:rsidR="00F97856" w:rsidRPr="00F97856" w:rsidRDefault="00F97856" w:rsidP="00F97856">
      <w:pPr>
        <w:widowControl w:val="0"/>
        <w:numPr>
          <w:ilvl w:val="0"/>
          <w:numId w:val="27"/>
        </w:numPr>
        <w:spacing w:after="0"/>
        <w:ind w:left="1530" w:right="1138"/>
        <w:rPr>
          <w:rFonts w:ascii="Calibri" w:eastAsia="Calibri" w:hAnsi="Calibri"/>
          <w:sz w:val="22"/>
        </w:rPr>
      </w:pPr>
      <w:r w:rsidRPr="00F97856">
        <w:rPr>
          <w:rFonts w:ascii="Calibri" w:eastAsia="Calibri" w:hAnsi="Calibri"/>
          <w:sz w:val="22"/>
        </w:rPr>
        <w:t>A review of the 1</w:t>
      </w:r>
      <w:r w:rsidRPr="00F97856">
        <w:rPr>
          <w:rFonts w:ascii="Calibri" w:eastAsia="Calibri" w:hAnsi="Calibri"/>
          <w:sz w:val="22"/>
          <w:vertAlign w:val="superscript"/>
        </w:rPr>
        <w:t>st</w:t>
      </w:r>
      <w:r w:rsidRPr="00F97856">
        <w:rPr>
          <w:rFonts w:ascii="Calibri" w:eastAsia="Calibri" w:hAnsi="Calibri"/>
          <w:sz w:val="22"/>
        </w:rPr>
        <w:t xml:space="preserve"> approver’s assessment as set out above. </w:t>
      </w:r>
    </w:p>
    <w:p w14:paraId="7360F7AB" w14:textId="74AF9587" w:rsidR="00B3533B" w:rsidRPr="00292AF5" w:rsidRDefault="00F97856" w:rsidP="00292AF5">
      <w:pPr>
        <w:widowControl w:val="0"/>
        <w:numPr>
          <w:ilvl w:val="0"/>
          <w:numId w:val="27"/>
        </w:numPr>
        <w:spacing w:after="0"/>
        <w:ind w:left="1530" w:right="1138"/>
        <w:rPr>
          <w:rFonts w:ascii="Calibri" w:eastAsia="Calibri" w:hAnsi="Calibri"/>
          <w:sz w:val="22"/>
        </w:rPr>
      </w:pPr>
      <w:r w:rsidRPr="00F97856">
        <w:rPr>
          <w:rFonts w:ascii="Calibri" w:eastAsia="Calibri" w:hAnsi="Calibri"/>
          <w:sz w:val="22"/>
        </w:rPr>
        <w:t xml:space="preserve">Ensure that Expenditure is appropriate and necessary for University operations, and in the case of research that it is relevant. </w:t>
      </w:r>
      <w:r w:rsidR="003E565B" w:rsidRPr="00292AF5">
        <w:rPr>
          <w:rFonts w:ascii="Calibri" w:hAnsi="Calibri" w:cs="Calibri"/>
          <w:sz w:val="22"/>
          <w:szCs w:val="20"/>
        </w:rPr>
        <w:br/>
      </w:r>
    </w:p>
    <w:p w14:paraId="6A0A4392" w14:textId="7FB93B76" w:rsidR="003C5ECD" w:rsidRPr="004D393D" w:rsidRDefault="00140809" w:rsidP="00CD53C5">
      <w:pPr>
        <w:ind w:left="720" w:hanging="720"/>
        <w:rPr>
          <w:rFonts w:ascii="Calibri" w:hAnsi="Calibri" w:cs="Calibri"/>
          <w:b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ab/>
      </w:r>
      <w:r w:rsidR="009E74EC">
        <w:rPr>
          <w:rFonts w:ascii="Calibri" w:hAnsi="Calibri" w:cs="Calibri"/>
          <w:b/>
          <w:sz w:val="22"/>
          <w:szCs w:val="20"/>
        </w:rPr>
        <w:t>5</w:t>
      </w:r>
      <w:r w:rsidR="003C5ECD" w:rsidRPr="004D393D">
        <w:rPr>
          <w:rFonts w:ascii="Calibri" w:hAnsi="Calibri" w:cs="Calibri"/>
          <w:b/>
          <w:sz w:val="22"/>
          <w:szCs w:val="20"/>
        </w:rPr>
        <w:t>.</w:t>
      </w:r>
      <w:r w:rsidR="00BC6AAC" w:rsidRPr="004D393D">
        <w:rPr>
          <w:rFonts w:ascii="Calibri" w:hAnsi="Calibri" w:cs="Calibri"/>
          <w:b/>
          <w:sz w:val="22"/>
          <w:szCs w:val="20"/>
        </w:rPr>
        <w:t>4</w:t>
      </w:r>
      <w:r w:rsidR="003C5ECD" w:rsidRPr="004D393D">
        <w:rPr>
          <w:rFonts w:ascii="Calibri" w:hAnsi="Calibri" w:cs="Calibri"/>
          <w:b/>
          <w:sz w:val="22"/>
          <w:szCs w:val="20"/>
        </w:rPr>
        <w:t xml:space="preserve"> </w:t>
      </w:r>
      <w:r w:rsidR="00CD53C5" w:rsidRPr="004D393D">
        <w:rPr>
          <w:rFonts w:ascii="Calibri" w:hAnsi="Calibri" w:cs="Calibri"/>
          <w:b/>
          <w:sz w:val="22"/>
          <w:szCs w:val="20"/>
        </w:rPr>
        <w:tab/>
      </w:r>
      <w:r w:rsidR="003C5ECD" w:rsidRPr="004D393D">
        <w:rPr>
          <w:rFonts w:ascii="Calibri" w:hAnsi="Calibri" w:cs="Calibri"/>
          <w:b/>
          <w:sz w:val="22"/>
          <w:szCs w:val="20"/>
        </w:rPr>
        <w:t xml:space="preserve">Delegation of Signing Authority </w:t>
      </w:r>
    </w:p>
    <w:p w14:paraId="26CF19F9" w14:textId="5A62F9F9" w:rsidR="003F55A7" w:rsidRPr="004D393D" w:rsidRDefault="003C5ECD" w:rsidP="003F55A7">
      <w:pPr>
        <w:ind w:left="1440" w:hanging="720"/>
        <w:rPr>
          <w:rFonts w:ascii="Calibri" w:hAnsi="Calibri" w:cs="Calibri"/>
          <w:sz w:val="22"/>
          <w:szCs w:val="20"/>
        </w:rPr>
      </w:pPr>
      <w:r w:rsidRPr="004D393D">
        <w:rPr>
          <w:rFonts w:ascii="Calibri" w:eastAsiaTheme="minorHAnsi" w:hAnsi="Calibri" w:cs="Calibri"/>
          <w:color w:val="000000"/>
          <w:sz w:val="22"/>
          <w:szCs w:val="20"/>
        </w:rPr>
        <w:tab/>
      </w:r>
      <w:r w:rsidRPr="004D393D">
        <w:rPr>
          <w:rFonts w:ascii="Calibri" w:hAnsi="Calibri" w:cs="Calibri"/>
          <w:sz w:val="22"/>
          <w:szCs w:val="20"/>
        </w:rPr>
        <w:t>Authorized account holders are permitted to temporarily delegate their signing authority to other individuals within their Faculty/</w:t>
      </w:r>
      <w:r w:rsidR="001576D1" w:rsidRPr="004D393D">
        <w:rPr>
          <w:rFonts w:ascii="Calibri" w:hAnsi="Calibri" w:cs="Calibri"/>
          <w:sz w:val="22"/>
          <w:szCs w:val="20"/>
        </w:rPr>
        <w:t>Department.</w:t>
      </w:r>
      <w:r w:rsidRPr="004D393D">
        <w:rPr>
          <w:rFonts w:ascii="Calibri" w:hAnsi="Calibri" w:cs="Calibri"/>
          <w:sz w:val="22"/>
          <w:szCs w:val="20"/>
        </w:rPr>
        <w:t xml:space="preserve"> </w:t>
      </w:r>
      <w:r w:rsidR="00700689" w:rsidRPr="00F97856">
        <w:rPr>
          <w:rFonts w:ascii="Calibri" w:eastAsia="Calibri" w:hAnsi="Calibri"/>
          <w:spacing w:val="-2"/>
          <w:sz w:val="22"/>
        </w:rPr>
        <w:t xml:space="preserve">The temporary delegation of approval form is included in </w:t>
      </w:r>
      <w:commentRangeStart w:id="2"/>
      <w:r w:rsidR="00700689" w:rsidRPr="00F97856">
        <w:rPr>
          <w:rFonts w:ascii="Calibri" w:eastAsia="Calibri" w:hAnsi="Calibri"/>
          <w:spacing w:val="-2"/>
          <w:sz w:val="22"/>
        </w:rPr>
        <w:t>Appendix B</w:t>
      </w:r>
      <w:commentRangeEnd w:id="2"/>
      <w:r w:rsidR="00700689" w:rsidRPr="00F97856">
        <w:rPr>
          <w:rFonts w:eastAsiaTheme="minorHAnsi"/>
          <w:sz w:val="22"/>
        </w:rPr>
        <w:commentReference w:id="2"/>
      </w:r>
      <w:r w:rsidR="00700689" w:rsidRPr="00F97856">
        <w:rPr>
          <w:rFonts w:ascii="Calibri" w:eastAsia="Calibri" w:hAnsi="Calibri"/>
          <w:spacing w:val="-2"/>
          <w:sz w:val="22"/>
        </w:rPr>
        <w:t xml:space="preserve">.  </w:t>
      </w:r>
      <w:r w:rsidRPr="004D393D">
        <w:rPr>
          <w:rFonts w:ascii="Calibri" w:hAnsi="Calibri" w:cs="Calibri"/>
          <w:sz w:val="22"/>
          <w:szCs w:val="20"/>
        </w:rPr>
        <w:t xml:space="preserve">All Delegation of Authority forms must be completed and signed by both the delegator and the </w:t>
      </w:r>
      <w:r w:rsidR="00292AF5" w:rsidRPr="004D393D">
        <w:rPr>
          <w:rFonts w:ascii="Calibri" w:hAnsi="Calibri" w:cs="Calibri"/>
          <w:sz w:val="22"/>
          <w:szCs w:val="20"/>
        </w:rPr>
        <w:t>delegate</w:t>
      </w:r>
      <w:r w:rsidRPr="004D393D">
        <w:rPr>
          <w:rFonts w:ascii="Calibri" w:hAnsi="Calibri" w:cs="Calibri"/>
          <w:sz w:val="22"/>
          <w:szCs w:val="20"/>
        </w:rPr>
        <w:t xml:space="preserve">.   Once duly signed, the original is sent to the </w:t>
      </w:r>
      <w:r w:rsidR="00580677">
        <w:rPr>
          <w:rFonts w:ascii="Calibri" w:hAnsi="Calibri" w:cs="Calibri"/>
          <w:sz w:val="22"/>
          <w:szCs w:val="20"/>
        </w:rPr>
        <w:t>University</w:t>
      </w:r>
      <w:r w:rsidR="00580677" w:rsidRPr="004D393D">
        <w:rPr>
          <w:rFonts w:ascii="Calibri" w:hAnsi="Calibri" w:cs="Calibri"/>
          <w:sz w:val="22"/>
          <w:szCs w:val="20"/>
        </w:rPr>
        <w:t xml:space="preserve">’s </w:t>
      </w:r>
      <w:r w:rsidRPr="004D393D">
        <w:rPr>
          <w:rFonts w:ascii="Calibri" w:hAnsi="Calibri" w:cs="Calibri"/>
          <w:sz w:val="22"/>
          <w:szCs w:val="20"/>
        </w:rPr>
        <w:t>Finance department who shall maintain a repository for all such delegations.  A scanned copy of the form is to be sent to the</w:t>
      </w:r>
      <w:r w:rsidR="00105F35" w:rsidRPr="004D393D">
        <w:rPr>
          <w:rFonts w:ascii="Calibri" w:hAnsi="Calibri" w:cs="Calibri"/>
          <w:sz w:val="22"/>
          <w:szCs w:val="20"/>
        </w:rPr>
        <w:t xml:space="preserve"> office of </w:t>
      </w:r>
      <w:r w:rsidR="00171745" w:rsidRPr="004D393D">
        <w:rPr>
          <w:rFonts w:ascii="Calibri" w:hAnsi="Calibri" w:cs="Calibri"/>
          <w:sz w:val="22"/>
          <w:szCs w:val="20"/>
        </w:rPr>
        <w:t>Procurement at</w:t>
      </w:r>
      <w:r w:rsidRPr="004D393D">
        <w:rPr>
          <w:rFonts w:ascii="Calibri" w:hAnsi="Calibri" w:cs="Calibri"/>
          <w:sz w:val="22"/>
          <w:szCs w:val="20"/>
        </w:rPr>
        <w:t xml:space="preserve"> </w:t>
      </w:r>
      <w:hyperlink r:id="rId12" w:history="1">
        <w:r w:rsidRPr="004D393D">
          <w:rPr>
            <w:rStyle w:val="Hyperlink"/>
            <w:rFonts w:ascii="Calibri" w:hAnsi="Calibri" w:cs="Calibri"/>
            <w:sz w:val="22"/>
            <w:szCs w:val="20"/>
          </w:rPr>
          <w:t>purchasing@dc-uoit.ca</w:t>
        </w:r>
      </w:hyperlink>
      <w:r w:rsidR="00E37832" w:rsidRPr="004D393D">
        <w:rPr>
          <w:rStyle w:val="Hyperlink"/>
          <w:rFonts w:ascii="Calibri" w:hAnsi="Calibri" w:cs="Calibri"/>
          <w:sz w:val="22"/>
          <w:szCs w:val="20"/>
        </w:rPr>
        <w:t>.</w:t>
      </w:r>
    </w:p>
    <w:p w14:paraId="3E77EDF2" w14:textId="6625BFD0" w:rsidR="003C5ECD" w:rsidRDefault="003C5ECD" w:rsidP="00292AF5">
      <w:pPr>
        <w:ind w:left="1440" w:hanging="720"/>
        <w:rPr>
          <w:rFonts w:ascii="Calibri" w:eastAsiaTheme="minorHAnsi" w:hAnsi="Calibri" w:cs="Calibri"/>
          <w:color w:val="000000"/>
          <w:sz w:val="22"/>
          <w:szCs w:val="20"/>
        </w:rPr>
      </w:pPr>
      <w:r w:rsidRPr="004D393D">
        <w:rPr>
          <w:rFonts w:ascii="Calibri" w:hAnsi="Calibri" w:cs="Calibri"/>
          <w:sz w:val="22"/>
          <w:szCs w:val="20"/>
        </w:rPr>
        <w:tab/>
        <w:t>By signing the delegation of authority forms, the delegate is agreeing to provide the delegator with an executed copy of any and all documents signed after execution.</w:t>
      </w:r>
    </w:p>
    <w:p w14:paraId="63817CCE" w14:textId="799DD382" w:rsidR="00A80E2C" w:rsidRDefault="00A80E2C" w:rsidP="002D55F3">
      <w:pPr>
        <w:rPr>
          <w:rFonts w:ascii="Calibri" w:hAnsi="Calibri" w:cs="Calibri"/>
          <w:b/>
          <w:sz w:val="22"/>
          <w:szCs w:val="20"/>
        </w:rPr>
      </w:pPr>
    </w:p>
    <w:p w14:paraId="28CA0E00" w14:textId="69777F33" w:rsidR="00A80E2C" w:rsidRPr="004D393D" w:rsidRDefault="00A80E2C" w:rsidP="00A80E2C">
      <w:pPr>
        <w:pStyle w:val="Heading2"/>
        <w:rPr>
          <w:rFonts w:eastAsia="Calibri"/>
          <w:sz w:val="22"/>
          <w:lang w:val="en-CA" w:eastAsia="en-CA"/>
        </w:rPr>
      </w:pPr>
      <w:r w:rsidRPr="006067A2">
        <w:rPr>
          <w:rFonts w:eastAsia="Calibri"/>
          <w:sz w:val="22"/>
          <w:lang w:val="en-CA" w:eastAsia="en-CA"/>
        </w:rPr>
        <w:t>6.</w:t>
      </w:r>
      <w:r>
        <w:rPr>
          <w:rFonts w:eastAsia="Calibri"/>
          <w:lang w:val="en-CA" w:eastAsia="en-CA"/>
        </w:rPr>
        <w:tab/>
      </w:r>
      <w:r w:rsidRPr="004D393D">
        <w:rPr>
          <w:rFonts w:eastAsia="Calibri"/>
          <w:sz w:val="22"/>
          <w:lang w:val="en-CA" w:eastAsia="en-CA"/>
        </w:rPr>
        <w:t>ASSOCIATED POLICIES, PROCEDURES AND GUIDELINES</w:t>
      </w:r>
    </w:p>
    <w:p w14:paraId="6A87D4A3" w14:textId="77777777" w:rsidR="00A80E2C" w:rsidRPr="004D393D" w:rsidRDefault="00A80E2C" w:rsidP="00A80E2C">
      <w:pPr>
        <w:tabs>
          <w:tab w:val="left" w:pos="284"/>
        </w:tabs>
        <w:rPr>
          <w:rFonts w:eastAsia="Calibri"/>
          <w:sz w:val="22"/>
          <w:lang w:val="en-CA" w:eastAsia="en-CA"/>
        </w:rPr>
      </w:pPr>
    </w:p>
    <w:p w14:paraId="77F56BB8" w14:textId="5C9BEBA9" w:rsidR="00A80E2C" w:rsidRPr="004D393D" w:rsidRDefault="00A80E2C" w:rsidP="006067A2">
      <w:pPr>
        <w:tabs>
          <w:tab w:val="left" w:pos="284"/>
        </w:tabs>
        <w:ind w:left="720"/>
        <w:rPr>
          <w:rFonts w:eastAsia="Calibri"/>
          <w:sz w:val="22"/>
          <w:lang w:val="en-CA" w:eastAsia="en-CA"/>
        </w:rPr>
      </w:pPr>
      <w:r w:rsidRPr="004D393D">
        <w:rPr>
          <w:rFonts w:eastAsia="Calibri"/>
          <w:sz w:val="22"/>
          <w:lang w:val="en-CA" w:eastAsia="en-CA"/>
        </w:rPr>
        <w:t>All procurement activities must adhere to standards and procedures as outlined in the associated procedures and guidelines, which include the following: [insert links]</w:t>
      </w:r>
    </w:p>
    <w:p w14:paraId="33342959" w14:textId="77777777" w:rsidR="00A80E2C" w:rsidRPr="004D393D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 w:eastAsia="en-CA"/>
        </w:rPr>
      </w:pPr>
      <w:r w:rsidRPr="004D393D">
        <w:rPr>
          <w:rFonts w:ascii="Calibri" w:eastAsia="Calibri" w:hAnsi="Calibri" w:cs="Arial"/>
          <w:sz w:val="22"/>
          <w:szCs w:val="20"/>
          <w:lang w:val="en-CA" w:eastAsia="en-CA"/>
        </w:rPr>
        <w:t>Gift Acceptance Policy and Procedures</w:t>
      </w:r>
    </w:p>
    <w:p w14:paraId="7322FB05" w14:textId="77777777" w:rsidR="00A80E2C" w:rsidRPr="004D393D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/>
        </w:rPr>
      </w:pPr>
      <w:r w:rsidRPr="004D393D">
        <w:rPr>
          <w:rFonts w:ascii="Calibri" w:eastAsia="Calibri" w:hAnsi="Calibri" w:cs="Arial"/>
          <w:sz w:val="22"/>
          <w:szCs w:val="20"/>
          <w:lang w:val="en-CA"/>
        </w:rPr>
        <w:t>Investment Policy</w:t>
      </w:r>
    </w:p>
    <w:p w14:paraId="74D74CA7" w14:textId="77777777" w:rsidR="00A80E2C" w:rsidRPr="004D393D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 w:eastAsia="en-CA"/>
        </w:rPr>
      </w:pPr>
      <w:r w:rsidRPr="004D393D">
        <w:rPr>
          <w:rFonts w:ascii="Calibri" w:eastAsia="Calibri" w:hAnsi="Calibri" w:cs="Arial"/>
          <w:sz w:val="22"/>
          <w:szCs w:val="20"/>
          <w:lang w:val="en-CA" w:eastAsia="en-CA"/>
        </w:rPr>
        <w:t>Purchasing Procedures</w:t>
      </w:r>
    </w:p>
    <w:p w14:paraId="02A48E92" w14:textId="77777777" w:rsidR="00A80E2C" w:rsidRPr="004D393D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 w:eastAsia="en-CA"/>
        </w:rPr>
      </w:pPr>
      <w:r w:rsidRPr="004D393D">
        <w:rPr>
          <w:rFonts w:ascii="Calibri" w:eastAsia="Calibri" w:hAnsi="Calibri" w:cs="Arial"/>
          <w:sz w:val="22"/>
          <w:szCs w:val="20"/>
          <w:lang w:val="en-CA" w:eastAsia="en-CA"/>
        </w:rPr>
        <w:t>Signing Authority Registry</w:t>
      </w:r>
    </w:p>
    <w:p w14:paraId="7DFE19BA" w14:textId="77777777" w:rsidR="00A80E2C" w:rsidRPr="004D393D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 w:eastAsia="en-CA"/>
        </w:rPr>
      </w:pPr>
      <w:r w:rsidRPr="004D393D">
        <w:rPr>
          <w:rFonts w:ascii="Calibri" w:eastAsia="Calibri" w:hAnsi="Calibri" w:cs="Arial"/>
          <w:sz w:val="22"/>
          <w:szCs w:val="20"/>
          <w:lang w:val="en-CA" w:eastAsia="en-CA"/>
        </w:rPr>
        <w:t>Signing Authority Registry and Approval Procedures</w:t>
      </w:r>
    </w:p>
    <w:p w14:paraId="182DF899" w14:textId="77777777" w:rsidR="00A80E2C" w:rsidRPr="004D393D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 w:eastAsia="en-CA"/>
        </w:rPr>
      </w:pPr>
      <w:r w:rsidRPr="004D393D">
        <w:rPr>
          <w:rFonts w:ascii="Calibri" w:eastAsia="Calibri" w:hAnsi="Calibri" w:cs="Arial"/>
          <w:sz w:val="22"/>
          <w:szCs w:val="20"/>
          <w:lang w:val="en-CA" w:eastAsia="en-CA"/>
        </w:rPr>
        <w:lastRenderedPageBreak/>
        <w:t xml:space="preserve">Travel Expense Reimbursement Procedure </w:t>
      </w:r>
      <w:r w:rsidRPr="004D393D">
        <w:rPr>
          <w:rFonts w:ascii="Calibri" w:eastAsia="Calibri" w:hAnsi="Calibri" w:cs="Arial"/>
          <w:sz w:val="22"/>
          <w:szCs w:val="20"/>
          <w:lang w:val="en-CA"/>
        </w:rPr>
        <w:tab/>
      </w:r>
    </w:p>
    <w:p w14:paraId="36A6D216" w14:textId="77777777" w:rsidR="00A80E2C" w:rsidRPr="00700689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/>
        </w:rPr>
      </w:pPr>
      <w:r w:rsidRPr="00700689">
        <w:rPr>
          <w:rFonts w:ascii="Calibri" w:eastAsia="Calibri" w:hAnsi="Calibri" w:cs="Arial"/>
          <w:sz w:val="22"/>
          <w:szCs w:val="20"/>
          <w:lang w:val="en-CA"/>
        </w:rPr>
        <w:t>Contract Management Policy and Procedure</w:t>
      </w:r>
    </w:p>
    <w:p w14:paraId="38D65AED" w14:textId="77777777" w:rsidR="00A80E2C" w:rsidRPr="00700689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/>
        </w:rPr>
      </w:pPr>
      <w:r w:rsidRPr="00700689">
        <w:rPr>
          <w:rFonts w:ascii="Calibri" w:eastAsia="Calibri" w:hAnsi="Calibri" w:cs="Arial"/>
          <w:sz w:val="22"/>
          <w:szCs w:val="20"/>
          <w:lang w:val="en-CA"/>
        </w:rPr>
        <w:t>Procurement Policy and Procedure</w:t>
      </w:r>
    </w:p>
    <w:p w14:paraId="126B1423" w14:textId="77777777" w:rsidR="00A80E2C" w:rsidRPr="00700689" w:rsidRDefault="00A80E2C" w:rsidP="00A80E2C">
      <w:pPr>
        <w:numPr>
          <w:ilvl w:val="1"/>
          <w:numId w:val="22"/>
        </w:numPr>
        <w:tabs>
          <w:tab w:val="left" w:pos="284"/>
          <w:tab w:val="left" w:pos="720"/>
        </w:tabs>
        <w:rPr>
          <w:rFonts w:ascii="Calibri" w:eastAsia="Calibri" w:hAnsi="Calibri" w:cs="Arial"/>
          <w:sz w:val="22"/>
          <w:szCs w:val="20"/>
          <w:lang w:val="en-CA"/>
        </w:rPr>
      </w:pPr>
      <w:r w:rsidRPr="00700689">
        <w:rPr>
          <w:rFonts w:ascii="Calibri" w:eastAsia="Calibri" w:hAnsi="Calibri" w:cs="Arial"/>
          <w:sz w:val="22"/>
          <w:szCs w:val="20"/>
          <w:lang w:val="en-CA"/>
        </w:rPr>
        <w:t>Expenses Policy and Procedures</w:t>
      </w:r>
    </w:p>
    <w:p w14:paraId="0A1F6A31" w14:textId="77777777" w:rsidR="00A80E2C" w:rsidRPr="004D393D" w:rsidRDefault="00A80E2C" w:rsidP="00A80E2C">
      <w:pPr>
        <w:tabs>
          <w:tab w:val="left" w:pos="284"/>
          <w:tab w:val="left" w:pos="720"/>
        </w:tabs>
        <w:rPr>
          <w:rFonts w:ascii="Calibri" w:eastAsia="Calibri" w:hAnsi="Calibri" w:cs="Arial"/>
          <w:b/>
          <w:sz w:val="22"/>
          <w:szCs w:val="20"/>
          <w:lang w:val="en-CA"/>
        </w:rPr>
      </w:pPr>
      <w:r w:rsidRPr="004D393D">
        <w:rPr>
          <w:rFonts w:ascii="Calibri" w:eastAsia="Calibri" w:hAnsi="Calibri" w:cs="Arial"/>
          <w:b/>
          <w:sz w:val="22"/>
          <w:szCs w:val="20"/>
          <w:lang w:val="en-CA"/>
        </w:rPr>
        <w:tab/>
      </w:r>
    </w:p>
    <w:p w14:paraId="723996A4" w14:textId="533859CD" w:rsidR="00A80E2C" w:rsidRPr="004D393D" w:rsidRDefault="00A80E2C" w:rsidP="00A80E2C">
      <w:pPr>
        <w:tabs>
          <w:tab w:val="left" w:pos="284"/>
          <w:tab w:val="left" w:pos="720"/>
        </w:tabs>
        <w:rPr>
          <w:rFonts w:ascii="Calibri" w:eastAsia="Calibri" w:hAnsi="Calibri" w:cs="Arial"/>
          <w:b/>
          <w:sz w:val="22"/>
          <w:szCs w:val="20"/>
          <w:lang w:val="en-CA"/>
        </w:rPr>
      </w:pPr>
      <w:r>
        <w:rPr>
          <w:rFonts w:ascii="Calibri" w:eastAsia="Calibri" w:hAnsi="Calibri" w:cs="Arial"/>
          <w:b/>
          <w:sz w:val="22"/>
          <w:szCs w:val="20"/>
          <w:lang w:val="en-CA"/>
        </w:rPr>
        <w:t>7</w:t>
      </w:r>
      <w:r w:rsidRPr="004D393D">
        <w:rPr>
          <w:rFonts w:ascii="Calibri" w:eastAsia="Calibri" w:hAnsi="Calibri" w:cs="Arial"/>
          <w:b/>
          <w:sz w:val="22"/>
          <w:szCs w:val="20"/>
          <w:lang w:val="en-CA"/>
        </w:rPr>
        <w:t>.</w:t>
      </w:r>
      <w:r w:rsidRPr="004D393D">
        <w:rPr>
          <w:rFonts w:ascii="Calibri" w:eastAsia="Calibri" w:hAnsi="Calibri" w:cs="Arial"/>
          <w:b/>
          <w:sz w:val="22"/>
          <w:szCs w:val="20"/>
          <w:lang w:val="en-CA"/>
        </w:rPr>
        <w:tab/>
      </w:r>
      <w:r w:rsidR="00A16C9F">
        <w:rPr>
          <w:rFonts w:ascii="Calibri" w:eastAsia="Calibri" w:hAnsi="Calibri" w:cs="Arial"/>
          <w:b/>
          <w:sz w:val="22"/>
          <w:szCs w:val="20"/>
          <w:lang w:val="en-CA"/>
        </w:rPr>
        <w:t xml:space="preserve">         </w:t>
      </w:r>
      <w:r w:rsidRPr="004D393D">
        <w:rPr>
          <w:rFonts w:ascii="Calibri" w:eastAsia="Calibri" w:hAnsi="Calibri" w:cs="Arial"/>
          <w:b/>
          <w:sz w:val="22"/>
          <w:szCs w:val="20"/>
          <w:lang w:val="en-CA"/>
        </w:rPr>
        <w:t>REVIEW</w:t>
      </w:r>
    </w:p>
    <w:p w14:paraId="2654FE4D" w14:textId="49E32930" w:rsidR="00A80E2C" w:rsidRPr="004D393D" w:rsidRDefault="00A80E2C" w:rsidP="006067A2">
      <w:pPr>
        <w:tabs>
          <w:tab w:val="left" w:pos="284"/>
          <w:tab w:val="left" w:pos="720"/>
        </w:tabs>
        <w:ind w:left="720"/>
        <w:rPr>
          <w:rFonts w:ascii="Calibri" w:eastAsia="Calibri" w:hAnsi="Calibri" w:cs="Arial"/>
          <w:sz w:val="22"/>
          <w:szCs w:val="20"/>
          <w:lang w:val="en-CA"/>
        </w:rPr>
      </w:pPr>
      <w:r w:rsidRPr="004D393D">
        <w:rPr>
          <w:rFonts w:ascii="Calibri" w:eastAsia="Calibri" w:hAnsi="Calibri" w:cs="Arial"/>
          <w:sz w:val="22"/>
          <w:szCs w:val="20"/>
          <w:lang w:val="en-CA"/>
        </w:rPr>
        <w:t xml:space="preserve">The procedures and associated rates and schedules will be reviewed from time to time, and may be adjusted as required by </w:t>
      </w:r>
      <w:r>
        <w:rPr>
          <w:rFonts w:ascii="Calibri" w:eastAsia="Calibri" w:hAnsi="Calibri" w:cs="Arial"/>
          <w:sz w:val="22"/>
          <w:szCs w:val="20"/>
          <w:lang w:val="en-CA"/>
        </w:rPr>
        <w:t>U</w:t>
      </w:r>
      <w:r w:rsidRPr="004D393D">
        <w:rPr>
          <w:rFonts w:ascii="Calibri" w:eastAsia="Calibri" w:hAnsi="Calibri" w:cs="Arial"/>
          <w:sz w:val="22"/>
          <w:szCs w:val="20"/>
          <w:lang w:val="en-CA"/>
        </w:rPr>
        <w:t>niversity policies and broader regulatory requirements.</w:t>
      </w:r>
    </w:p>
    <w:p w14:paraId="36C818EA" w14:textId="3570980F" w:rsidR="00A80E2C" w:rsidRDefault="00A80E2C" w:rsidP="002D55F3">
      <w:pPr>
        <w:rPr>
          <w:rFonts w:ascii="Calibri" w:hAnsi="Calibri" w:cs="Calibri"/>
          <w:b/>
          <w:sz w:val="22"/>
          <w:szCs w:val="20"/>
        </w:rPr>
      </w:pPr>
    </w:p>
    <w:p w14:paraId="3B864321" w14:textId="77777777" w:rsidR="00A80E2C" w:rsidRPr="004D393D" w:rsidRDefault="00A80E2C" w:rsidP="006067A2">
      <w:pPr>
        <w:rPr>
          <w:rFonts w:ascii="Calibri" w:hAnsi="Calibri" w:cs="Calibri"/>
          <w:b/>
          <w:sz w:val="22"/>
          <w:szCs w:val="20"/>
        </w:rPr>
      </w:pPr>
    </w:p>
    <w:p w14:paraId="19F02CDD" w14:textId="77777777" w:rsidR="003F55A7" w:rsidRDefault="003F55A7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2DF5ECDC" w14:textId="77777777" w:rsidR="00700689" w:rsidRDefault="00700689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4E8C6DD7" w14:textId="471E23AF" w:rsidR="00700689" w:rsidRDefault="00700689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6A4BD0A1" w14:textId="798FAB71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17B11107" w14:textId="7EE7007F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7F0B08DC" w14:textId="655FE285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2A81F93C" w14:textId="5743425F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4A560C9B" w14:textId="622E64D5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28DF2702" w14:textId="13E83339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4E01CDB9" w14:textId="363E1F01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08383951" w14:textId="6FFB84A2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1F1C1B23" w14:textId="1449D0EE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6EE0EB50" w14:textId="45B04663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16891437" w14:textId="23D94A10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61FB179C" w14:textId="78C5A6AB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5197D6A5" w14:textId="77777777" w:rsidR="00A80E2C" w:rsidRDefault="00A80E2C" w:rsidP="00C17329">
      <w:pPr>
        <w:rPr>
          <w:rFonts w:ascii="Calibri" w:eastAsiaTheme="minorHAnsi" w:hAnsi="Calibri" w:cs="Calibri"/>
          <w:color w:val="000000"/>
          <w:szCs w:val="20"/>
        </w:rPr>
      </w:pPr>
    </w:p>
    <w:p w14:paraId="5128A022" w14:textId="77777777" w:rsidR="00ED6D4B" w:rsidRDefault="00ED6D4B" w:rsidP="00C17329">
      <w:pPr>
        <w:rPr>
          <w:rFonts w:ascii="Calibri" w:eastAsiaTheme="minorHAnsi" w:hAnsi="Calibri" w:cs="Calibri"/>
          <w:b/>
          <w:color w:val="000000"/>
          <w:sz w:val="22"/>
          <w:szCs w:val="20"/>
        </w:rPr>
      </w:pPr>
    </w:p>
    <w:p w14:paraId="13E112F1" w14:textId="77777777" w:rsidR="00ED6D4B" w:rsidRDefault="00ED6D4B" w:rsidP="00C17329">
      <w:pPr>
        <w:rPr>
          <w:rFonts w:ascii="Calibri" w:eastAsiaTheme="minorHAnsi" w:hAnsi="Calibri" w:cs="Calibri"/>
          <w:b/>
          <w:color w:val="000000"/>
          <w:sz w:val="22"/>
          <w:szCs w:val="20"/>
        </w:rPr>
      </w:pPr>
    </w:p>
    <w:p w14:paraId="7B8590A2" w14:textId="5E0DC83C" w:rsidR="00292AF5" w:rsidRDefault="00292AF5" w:rsidP="00C17329">
      <w:pPr>
        <w:rPr>
          <w:rFonts w:ascii="Calibri" w:eastAsiaTheme="minorHAnsi" w:hAnsi="Calibri" w:cs="Calibri"/>
          <w:b/>
          <w:color w:val="000000"/>
          <w:sz w:val="22"/>
          <w:szCs w:val="20"/>
        </w:rPr>
      </w:pPr>
      <w:r>
        <w:rPr>
          <w:rFonts w:ascii="Calibri" w:eastAsiaTheme="minorHAnsi" w:hAnsi="Calibri" w:cs="Calibri"/>
          <w:b/>
          <w:color w:val="000000"/>
          <w:sz w:val="22"/>
          <w:szCs w:val="20"/>
        </w:rPr>
        <w:br w:type="page"/>
      </w:r>
    </w:p>
    <w:p w14:paraId="59299C8E" w14:textId="5550FA0E" w:rsidR="00700689" w:rsidRPr="00700689" w:rsidRDefault="00A80E2C" w:rsidP="006067A2">
      <w:pPr>
        <w:rPr>
          <w:rFonts w:ascii="Calibri" w:eastAsia="Calibri" w:hAnsi="Calibri"/>
          <w:b/>
          <w:spacing w:val="-1"/>
          <w:sz w:val="22"/>
        </w:rPr>
      </w:pPr>
      <w:r w:rsidRPr="006067A2">
        <w:rPr>
          <w:rFonts w:ascii="Calibri" w:eastAsiaTheme="minorHAnsi" w:hAnsi="Calibri" w:cs="Calibri"/>
          <w:b/>
          <w:color w:val="000000"/>
          <w:sz w:val="22"/>
          <w:szCs w:val="20"/>
        </w:rPr>
        <w:lastRenderedPageBreak/>
        <w:t>Appendix A: Approval Authority Registry</w:t>
      </w:r>
    </w:p>
    <w:p w14:paraId="2C67E21B" w14:textId="77777777" w:rsidR="00700689" w:rsidRPr="00700689" w:rsidRDefault="00700689" w:rsidP="00700689">
      <w:pPr>
        <w:widowControl w:val="0"/>
        <w:spacing w:before="5" w:after="0"/>
        <w:rPr>
          <w:rFonts w:ascii="Times New Roman" w:eastAsiaTheme="minorHAnsi" w:hAnsi="Times New Roman" w:cs="Times New Roman"/>
          <w:b/>
          <w:spacing w:val="-1"/>
          <w:sz w:val="22"/>
        </w:rPr>
      </w:pPr>
    </w:p>
    <w:p w14:paraId="2859FC94" w14:textId="533C28A5" w:rsidR="00700689" w:rsidRPr="006067A2" w:rsidRDefault="00A16C9F" w:rsidP="00700689">
      <w:pPr>
        <w:widowControl w:val="0"/>
        <w:spacing w:before="5" w:after="0"/>
        <w:rPr>
          <w:rFonts w:eastAsiaTheme="minorHAnsi" w:cstheme="minorHAnsi"/>
          <w:b/>
          <w:spacing w:val="-1"/>
          <w:sz w:val="22"/>
        </w:rPr>
      </w:pPr>
      <w:r>
        <w:rPr>
          <w:rFonts w:eastAsiaTheme="minorHAnsi" w:cstheme="minorHAnsi"/>
          <w:b/>
          <w:spacing w:val="-1"/>
          <w:sz w:val="22"/>
        </w:rPr>
        <w:t xml:space="preserve"> </w:t>
      </w:r>
      <w:r w:rsidR="00700689" w:rsidRPr="006067A2">
        <w:rPr>
          <w:rFonts w:eastAsiaTheme="minorHAnsi" w:cstheme="minorHAnsi"/>
          <w:b/>
          <w:spacing w:val="-1"/>
          <w:sz w:val="22"/>
        </w:rPr>
        <w:t>Board of Governors</w:t>
      </w:r>
    </w:p>
    <w:p w14:paraId="1F3B7A48" w14:textId="77777777" w:rsidR="00700689" w:rsidRPr="006067A2" w:rsidRDefault="00700689" w:rsidP="00700689">
      <w:pPr>
        <w:widowControl w:val="0"/>
        <w:spacing w:before="5" w:after="0"/>
        <w:rPr>
          <w:rFonts w:eastAsiaTheme="minorHAnsi" w:cstheme="minorHAnsi"/>
          <w:spacing w:val="-1"/>
          <w:sz w:val="22"/>
        </w:rPr>
      </w:pPr>
    </w:p>
    <w:p w14:paraId="47CEDEB1" w14:textId="1E95DB55" w:rsidR="00700689" w:rsidRPr="006067A2" w:rsidRDefault="00A16C9F" w:rsidP="00700689">
      <w:pPr>
        <w:widowControl w:val="0"/>
        <w:spacing w:before="5" w:after="0"/>
        <w:ind w:left="810" w:hanging="720"/>
        <w:rPr>
          <w:rFonts w:eastAsiaTheme="minorHAnsi" w:cstheme="minorHAnsi"/>
          <w:spacing w:val="-1"/>
          <w:sz w:val="22"/>
        </w:rPr>
      </w:pPr>
      <w:r>
        <w:rPr>
          <w:rFonts w:eastAsiaTheme="minorHAnsi" w:cstheme="minorHAnsi"/>
          <w:spacing w:val="-1"/>
          <w:sz w:val="22"/>
        </w:rPr>
        <w:t xml:space="preserve"> </w:t>
      </w:r>
      <w:r w:rsidR="00700689" w:rsidRPr="006067A2">
        <w:rPr>
          <w:rFonts w:eastAsiaTheme="minorHAnsi" w:cstheme="minorHAnsi"/>
          <w:spacing w:val="-1"/>
          <w:sz w:val="22"/>
        </w:rPr>
        <w:t xml:space="preserve">A.1  </w:t>
      </w:r>
      <w:r>
        <w:rPr>
          <w:rFonts w:eastAsiaTheme="minorHAnsi" w:cstheme="minorHAnsi"/>
          <w:spacing w:val="-1"/>
          <w:sz w:val="22"/>
        </w:rPr>
        <w:t xml:space="preserve"> </w:t>
      </w:r>
      <w:r>
        <w:rPr>
          <w:rFonts w:eastAsiaTheme="minorHAnsi" w:cstheme="minorHAnsi"/>
          <w:spacing w:val="-1"/>
          <w:sz w:val="22"/>
        </w:rPr>
        <w:tab/>
      </w:r>
      <w:r w:rsidR="00700689" w:rsidRPr="006067A2">
        <w:rPr>
          <w:rFonts w:eastAsiaTheme="minorHAnsi" w:cstheme="minorHAnsi"/>
          <w:spacing w:val="-1"/>
          <w:sz w:val="22"/>
        </w:rPr>
        <w:t xml:space="preserve">The President will act as the first approver and the Chair of the Board of Governors as the second approver with respect to: </w:t>
      </w:r>
    </w:p>
    <w:p w14:paraId="66421187" w14:textId="77777777" w:rsidR="00700689" w:rsidRPr="006067A2" w:rsidRDefault="00700689" w:rsidP="00700689">
      <w:pPr>
        <w:widowControl w:val="0"/>
        <w:spacing w:before="5" w:after="0"/>
        <w:rPr>
          <w:rFonts w:eastAsiaTheme="minorHAnsi" w:cstheme="minorHAnsi"/>
          <w:spacing w:val="-1"/>
          <w:sz w:val="22"/>
        </w:rPr>
      </w:pPr>
    </w:p>
    <w:p w14:paraId="0FA75119" w14:textId="760C0319" w:rsidR="00700689" w:rsidRPr="006067A2" w:rsidRDefault="00700689" w:rsidP="00700689">
      <w:pPr>
        <w:widowControl w:val="0"/>
        <w:numPr>
          <w:ilvl w:val="2"/>
          <w:numId w:val="25"/>
        </w:numPr>
        <w:spacing w:before="5" w:after="0"/>
        <w:rPr>
          <w:rFonts w:eastAsiaTheme="minorHAnsi" w:cstheme="minorHAnsi"/>
          <w:spacing w:val="-1"/>
          <w:sz w:val="22"/>
        </w:rPr>
      </w:pPr>
      <w:r w:rsidRPr="006067A2">
        <w:rPr>
          <w:rFonts w:eastAsiaTheme="minorHAnsi" w:cstheme="minorHAnsi"/>
          <w:spacing w:val="-1"/>
          <w:sz w:val="22"/>
        </w:rPr>
        <w:t xml:space="preserve">Any Expenditure or </w:t>
      </w:r>
      <w:r w:rsidR="00E8130D" w:rsidRPr="006067A2">
        <w:rPr>
          <w:rFonts w:eastAsiaTheme="minorHAnsi" w:cstheme="minorHAnsi"/>
          <w:spacing w:val="-1"/>
          <w:sz w:val="22"/>
        </w:rPr>
        <w:t>Financial C</w:t>
      </w:r>
      <w:r w:rsidRPr="006067A2">
        <w:rPr>
          <w:rFonts w:eastAsiaTheme="minorHAnsi" w:cstheme="minorHAnsi"/>
          <w:spacing w:val="-1"/>
          <w:sz w:val="22"/>
        </w:rPr>
        <w:t xml:space="preserve">ontract with a face value in excess of $3 million, </w:t>
      </w:r>
    </w:p>
    <w:p w14:paraId="20DED286" w14:textId="17269EC4" w:rsidR="00700689" w:rsidRPr="006067A2" w:rsidRDefault="00700689" w:rsidP="00700689">
      <w:pPr>
        <w:widowControl w:val="0"/>
        <w:numPr>
          <w:ilvl w:val="2"/>
          <w:numId w:val="25"/>
        </w:numPr>
        <w:spacing w:before="5" w:after="0"/>
        <w:rPr>
          <w:rFonts w:eastAsiaTheme="minorHAnsi" w:cstheme="minorHAnsi"/>
          <w:spacing w:val="-1"/>
          <w:sz w:val="22"/>
        </w:rPr>
      </w:pPr>
      <w:r w:rsidRPr="006067A2">
        <w:rPr>
          <w:rFonts w:eastAsiaTheme="minorHAnsi" w:cstheme="minorHAnsi"/>
          <w:spacing w:val="-1"/>
          <w:sz w:val="22"/>
        </w:rPr>
        <w:t>Banking agreements (resolutions, capital borrowings, guarantees or credit facilities),</w:t>
      </w:r>
    </w:p>
    <w:p w14:paraId="1F3F1920" w14:textId="77777777" w:rsidR="00700689" w:rsidRPr="006067A2" w:rsidRDefault="00700689" w:rsidP="00700689">
      <w:pPr>
        <w:widowControl w:val="0"/>
        <w:numPr>
          <w:ilvl w:val="2"/>
          <w:numId w:val="25"/>
        </w:numPr>
        <w:spacing w:before="5" w:after="0"/>
        <w:rPr>
          <w:rFonts w:eastAsiaTheme="minorHAnsi" w:cstheme="minorHAnsi"/>
          <w:spacing w:val="-1"/>
          <w:sz w:val="22"/>
        </w:rPr>
      </w:pPr>
      <w:r w:rsidRPr="006067A2">
        <w:rPr>
          <w:rFonts w:eastAsiaTheme="minorHAnsi" w:cstheme="minorHAnsi"/>
          <w:spacing w:val="-1"/>
          <w:sz w:val="22"/>
        </w:rPr>
        <w:t xml:space="preserve">Collective agreement mandates, </w:t>
      </w:r>
    </w:p>
    <w:p w14:paraId="52B3AE2D" w14:textId="08209E61" w:rsidR="00700689" w:rsidRPr="006067A2" w:rsidRDefault="00700689" w:rsidP="00700689">
      <w:pPr>
        <w:widowControl w:val="0"/>
        <w:numPr>
          <w:ilvl w:val="2"/>
          <w:numId w:val="25"/>
        </w:numPr>
        <w:spacing w:before="5" w:after="0"/>
        <w:rPr>
          <w:rFonts w:eastAsiaTheme="minorHAnsi" w:cstheme="minorHAnsi"/>
          <w:spacing w:val="-1"/>
          <w:sz w:val="22"/>
        </w:rPr>
      </w:pPr>
      <w:r w:rsidRPr="006067A2">
        <w:rPr>
          <w:rFonts w:eastAsiaTheme="minorHAnsi" w:cstheme="minorHAnsi"/>
          <w:spacing w:val="-1"/>
          <w:sz w:val="22"/>
        </w:rPr>
        <w:t xml:space="preserve">Appointment of external auditors, </w:t>
      </w:r>
    </w:p>
    <w:p w14:paraId="1A117E94" w14:textId="0632C847" w:rsidR="002F0644" w:rsidRPr="00292AF5" w:rsidRDefault="00700689" w:rsidP="00054D9B">
      <w:pPr>
        <w:widowControl w:val="0"/>
        <w:numPr>
          <w:ilvl w:val="2"/>
          <w:numId w:val="25"/>
        </w:numPr>
        <w:spacing w:before="5" w:after="0"/>
        <w:rPr>
          <w:rFonts w:eastAsiaTheme="minorHAnsi" w:cstheme="minorHAnsi"/>
          <w:b/>
          <w:spacing w:val="-1"/>
          <w:sz w:val="22"/>
        </w:rPr>
      </w:pPr>
      <w:r w:rsidRPr="00292AF5">
        <w:rPr>
          <w:rFonts w:eastAsiaTheme="minorHAnsi" w:cstheme="minorHAnsi"/>
          <w:spacing w:val="-1"/>
          <w:sz w:val="22"/>
        </w:rPr>
        <w:t>Sale or acquisition of real property, including any major renovation or construction projects</w:t>
      </w:r>
      <w:r w:rsidR="00292AF5">
        <w:rPr>
          <w:rStyle w:val="EndnoteReference"/>
          <w:rFonts w:eastAsiaTheme="minorHAnsi" w:cstheme="minorHAnsi"/>
          <w:spacing w:val="-1"/>
          <w:sz w:val="22"/>
        </w:rPr>
        <w:endnoteReference w:id="1"/>
      </w:r>
      <w:r w:rsidRPr="00292AF5">
        <w:rPr>
          <w:rFonts w:eastAsiaTheme="minorHAnsi" w:cstheme="minorHAnsi"/>
          <w:spacing w:val="-1"/>
          <w:sz w:val="22"/>
        </w:rPr>
        <w:t xml:space="preserve">.  </w:t>
      </w:r>
    </w:p>
    <w:p w14:paraId="4B3AD57F" w14:textId="77777777" w:rsidR="00292AF5" w:rsidRDefault="00292AF5" w:rsidP="00700689">
      <w:pPr>
        <w:widowControl w:val="0"/>
        <w:spacing w:before="5" w:after="0"/>
        <w:rPr>
          <w:rFonts w:eastAsiaTheme="minorHAnsi" w:cstheme="minorHAnsi"/>
          <w:b/>
          <w:spacing w:val="-1"/>
          <w:sz w:val="22"/>
        </w:rPr>
      </w:pPr>
    </w:p>
    <w:p w14:paraId="686B7255" w14:textId="21A82908" w:rsidR="00700689" w:rsidRPr="006067A2" w:rsidRDefault="00700689" w:rsidP="00700689">
      <w:pPr>
        <w:widowControl w:val="0"/>
        <w:spacing w:before="5" w:after="0"/>
        <w:rPr>
          <w:rFonts w:eastAsiaTheme="minorHAnsi" w:cstheme="minorHAnsi"/>
          <w:b/>
          <w:spacing w:val="-1"/>
          <w:sz w:val="22"/>
        </w:rPr>
      </w:pPr>
      <w:r w:rsidRPr="006067A2">
        <w:rPr>
          <w:rFonts w:eastAsiaTheme="minorHAnsi" w:cstheme="minorHAnsi"/>
          <w:b/>
          <w:spacing w:val="-1"/>
          <w:sz w:val="22"/>
        </w:rPr>
        <w:t>Procurement of goods</w:t>
      </w:r>
      <w:r w:rsidR="008F4DB1" w:rsidRPr="006067A2">
        <w:rPr>
          <w:rFonts w:eastAsiaTheme="minorHAnsi" w:cstheme="minorHAnsi"/>
          <w:b/>
          <w:spacing w:val="-1"/>
          <w:sz w:val="22"/>
        </w:rPr>
        <w:t>,</w:t>
      </w:r>
      <w:r w:rsidRPr="006067A2">
        <w:rPr>
          <w:rFonts w:eastAsiaTheme="minorHAnsi" w:cstheme="minorHAnsi"/>
          <w:b/>
          <w:spacing w:val="-1"/>
          <w:sz w:val="22"/>
        </w:rPr>
        <w:t xml:space="preserve"> services and student awards</w:t>
      </w:r>
    </w:p>
    <w:p w14:paraId="7D0E1C83" w14:textId="77777777" w:rsidR="00700689" w:rsidRPr="006067A2" w:rsidRDefault="00700689" w:rsidP="00700689">
      <w:pPr>
        <w:widowControl w:val="0"/>
        <w:spacing w:before="5" w:after="0"/>
        <w:rPr>
          <w:rFonts w:eastAsiaTheme="minorHAnsi" w:cstheme="minorHAnsi"/>
          <w:spacing w:val="-1"/>
          <w:sz w:val="22"/>
        </w:rPr>
      </w:pPr>
    </w:p>
    <w:p w14:paraId="2168D48A" w14:textId="3E2E1423" w:rsidR="00700689" w:rsidRPr="006067A2" w:rsidRDefault="00700689" w:rsidP="00700689">
      <w:pPr>
        <w:widowControl w:val="0"/>
        <w:spacing w:before="5" w:after="0"/>
        <w:ind w:left="720" w:hanging="450"/>
        <w:rPr>
          <w:rFonts w:eastAsiaTheme="minorHAnsi" w:cstheme="minorHAnsi"/>
          <w:spacing w:val="-1"/>
          <w:sz w:val="22"/>
        </w:rPr>
      </w:pPr>
      <w:r w:rsidRPr="006067A2">
        <w:rPr>
          <w:rFonts w:eastAsiaTheme="minorHAnsi" w:cstheme="minorHAnsi"/>
          <w:spacing w:val="-1"/>
          <w:sz w:val="22"/>
        </w:rPr>
        <w:t xml:space="preserve">A.2 </w:t>
      </w:r>
      <w:r w:rsidR="00A16C9F">
        <w:rPr>
          <w:rFonts w:eastAsiaTheme="minorHAnsi" w:cstheme="minorHAnsi"/>
          <w:spacing w:val="-1"/>
          <w:sz w:val="22"/>
        </w:rPr>
        <w:tab/>
      </w:r>
      <w:r w:rsidRPr="006067A2">
        <w:rPr>
          <w:rFonts w:eastAsiaTheme="minorHAnsi" w:cstheme="minorHAnsi"/>
          <w:spacing w:val="-1"/>
          <w:sz w:val="22"/>
        </w:rPr>
        <w:t>The following table is used to determine the first and second approver, based on the size of the Expenditure</w:t>
      </w:r>
      <w:r w:rsidR="00A80E2C" w:rsidRPr="006067A2">
        <w:rPr>
          <w:rFonts w:eastAsiaTheme="minorHAnsi" w:cstheme="minorHAnsi"/>
          <w:spacing w:val="-1"/>
          <w:sz w:val="22"/>
        </w:rPr>
        <w:t xml:space="preserve"> or Contract</w:t>
      </w:r>
      <w:r w:rsidRPr="006067A2">
        <w:rPr>
          <w:rFonts w:eastAsiaTheme="minorHAnsi" w:cstheme="minorHAnsi"/>
          <w:spacing w:val="-1"/>
          <w:sz w:val="22"/>
        </w:rPr>
        <w:t xml:space="preserve">.  </w:t>
      </w:r>
      <w:r w:rsidR="00CF5C26" w:rsidRPr="006067A2">
        <w:rPr>
          <w:rFonts w:eastAsiaTheme="minorHAnsi" w:cstheme="minorHAnsi"/>
          <w:spacing w:val="-1"/>
          <w:sz w:val="22"/>
        </w:rPr>
        <w:t xml:space="preserve">For research expenditures, see paragraph A.3.   </w:t>
      </w:r>
      <w:r w:rsidR="00A80E2C" w:rsidRPr="006067A2">
        <w:rPr>
          <w:rFonts w:eastAsiaTheme="minorHAnsi" w:cstheme="minorHAnsi"/>
          <w:spacing w:val="-1"/>
          <w:sz w:val="22"/>
        </w:rPr>
        <w:t>Financial Contracts with a value equal to or</w:t>
      </w:r>
      <w:r w:rsidRPr="006067A2">
        <w:rPr>
          <w:rFonts w:eastAsiaTheme="minorHAnsi" w:cstheme="minorHAnsi"/>
          <w:spacing w:val="-1"/>
          <w:sz w:val="22"/>
        </w:rPr>
        <w:t xml:space="preserve"> less than $10,000 require only one approver</w:t>
      </w:r>
      <w:r w:rsidR="00CF5C26" w:rsidRPr="006067A2">
        <w:rPr>
          <w:rFonts w:eastAsiaTheme="minorHAnsi" w:cstheme="minorHAnsi"/>
          <w:spacing w:val="-1"/>
          <w:sz w:val="22"/>
        </w:rPr>
        <w:t>.</w:t>
      </w:r>
      <w:r w:rsidR="00D707B3" w:rsidRPr="006067A2">
        <w:rPr>
          <w:rFonts w:eastAsiaTheme="minorHAnsi" w:cstheme="minorHAnsi"/>
          <w:spacing w:val="-1"/>
          <w:sz w:val="22"/>
        </w:rPr>
        <w:t xml:space="preserve">  </w:t>
      </w:r>
      <w:r w:rsidRPr="006067A2">
        <w:rPr>
          <w:rFonts w:eastAsiaTheme="minorHAnsi" w:cstheme="minorHAnsi"/>
          <w:spacing w:val="-1"/>
          <w:sz w:val="22"/>
        </w:rPr>
        <w:t xml:space="preserve"> </w:t>
      </w:r>
      <w:r w:rsidR="00A80E2C" w:rsidRPr="006067A2">
        <w:rPr>
          <w:rFonts w:eastAsiaTheme="minorHAnsi" w:cstheme="minorHAnsi"/>
          <w:spacing w:val="-1"/>
          <w:sz w:val="22"/>
        </w:rPr>
        <w:t xml:space="preserve">Expenditures </w:t>
      </w:r>
      <w:r w:rsidR="00CF5C26" w:rsidRPr="006067A2">
        <w:rPr>
          <w:rFonts w:cstheme="minorHAnsi"/>
          <w:spacing w:val="-1"/>
          <w:sz w:val="22"/>
        </w:rPr>
        <w:t>above $10,000 require two approvers, with individuals who may act as first and second approver being set out as per the below table.</w:t>
      </w:r>
      <w:r w:rsidR="00A80E2C" w:rsidRPr="006067A2">
        <w:rPr>
          <w:rFonts w:eastAsiaTheme="minorHAnsi" w:cstheme="minorHAnsi"/>
          <w:spacing w:val="-1"/>
          <w:sz w:val="22"/>
        </w:rPr>
        <w:t xml:space="preserve">  </w:t>
      </w:r>
      <w:r w:rsidRPr="006067A2">
        <w:rPr>
          <w:rFonts w:eastAsiaTheme="minorHAnsi" w:cstheme="minorHAnsi"/>
          <w:spacing w:val="-1"/>
          <w:sz w:val="22"/>
        </w:rPr>
        <w:t xml:space="preserve">For clarity, the first approver noted in the table below is minimum authority level.  Any individual who is denoted in the table as a possible second approver may also serve as the first approver. </w:t>
      </w:r>
      <w:r w:rsidR="00CF5C26" w:rsidRPr="006067A2">
        <w:rPr>
          <w:rFonts w:eastAsiaTheme="minorHAnsi" w:cstheme="minorHAnsi"/>
          <w:spacing w:val="-1"/>
          <w:sz w:val="22"/>
        </w:rPr>
        <w:t xml:space="preserve">An individual may not approve their own expense claims.  </w:t>
      </w:r>
    </w:p>
    <w:p w14:paraId="4DAE6ADA" w14:textId="77777777" w:rsidR="00700689" w:rsidRPr="006067A2" w:rsidRDefault="00700689" w:rsidP="00700689">
      <w:pPr>
        <w:widowControl w:val="0"/>
        <w:spacing w:before="5" w:after="0"/>
        <w:ind w:left="720"/>
        <w:rPr>
          <w:rFonts w:eastAsiaTheme="minorHAnsi" w:cstheme="minorHAnsi"/>
          <w:spacing w:val="-1"/>
          <w:sz w:val="22"/>
        </w:rPr>
      </w:pPr>
    </w:p>
    <w:tbl>
      <w:tblPr>
        <w:tblStyle w:val="TableGrid1"/>
        <w:tblW w:w="0" w:type="auto"/>
        <w:tblInd w:w="720" w:type="dxa"/>
        <w:tblLook w:val="04A0" w:firstRow="1" w:lastRow="0" w:firstColumn="1" w:lastColumn="0" w:noHBand="0" w:noVBand="1"/>
      </w:tblPr>
      <w:tblGrid>
        <w:gridCol w:w="1571"/>
        <w:gridCol w:w="1309"/>
        <w:gridCol w:w="1445"/>
        <w:gridCol w:w="1389"/>
        <w:gridCol w:w="1487"/>
        <w:gridCol w:w="1429"/>
      </w:tblGrid>
      <w:tr w:rsidR="00700689" w:rsidRPr="00547B2E" w14:paraId="5AE2EFD2" w14:textId="77777777" w:rsidTr="005727E9">
        <w:tc>
          <w:tcPr>
            <w:tcW w:w="1862" w:type="dxa"/>
          </w:tcPr>
          <w:p w14:paraId="37461A4B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635" w:type="dxa"/>
          </w:tcPr>
          <w:p w14:paraId="176B74B5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 xml:space="preserve"> Less than $10,000</w:t>
            </w:r>
          </w:p>
        </w:tc>
        <w:tc>
          <w:tcPr>
            <w:tcW w:w="1794" w:type="dxa"/>
          </w:tcPr>
          <w:p w14:paraId="106905D8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$10,001-$100,000</w:t>
            </w:r>
          </w:p>
        </w:tc>
        <w:tc>
          <w:tcPr>
            <w:tcW w:w="1631" w:type="dxa"/>
          </w:tcPr>
          <w:p w14:paraId="2811EAE4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$100,001-$250,000</w:t>
            </w:r>
          </w:p>
        </w:tc>
        <w:tc>
          <w:tcPr>
            <w:tcW w:w="1730" w:type="dxa"/>
          </w:tcPr>
          <w:p w14:paraId="526CE1E0" w14:textId="4FD07A2D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 xml:space="preserve"> $250,001-$</w:t>
            </w:r>
            <w:r w:rsidR="00B3218C">
              <w:rPr>
                <w:rFonts w:eastAsiaTheme="minorHAnsi" w:cstheme="minorHAnsi"/>
                <w:spacing w:val="-1"/>
                <w:sz w:val="22"/>
              </w:rPr>
              <w:t>2</w:t>
            </w:r>
            <w:r w:rsidRPr="006067A2">
              <w:rPr>
                <w:rFonts w:eastAsiaTheme="minorHAnsi" w:cstheme="minorHAnsi"/>
                <w:spacing w:val="-1"/>
                <w:sz w:val="22"/>
              </w:rPr>
              <w:t>,000,000</w:t>
            </w:r>
          </w:p>
        </w:tc>
        <w:tc>
          <w:tcPr>
            <w:tcW w:w="1621" w:type="dxa"/>
          </w:tcPr>
          <w:p w14:paraId="36223F4B" w14:textId="65C3B309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$</w:t>
            </w:r>
            <w:r w:rsidR="00B3218C">
              <w:rPr>
                <w:rFonts w:eastAsiaTheme="minorHAnsi" w:cstheme="minorHAnsi"/>
                <w:spacing w:val="-1"/>
                <w:sz w:val="22"/>
              </w:rPr>
              <w:t>2</w:t>
            </w:r>
            <w:r w:rsidRPr="006067A2">
              <w:rPr>
                <w:rFonts w:eastAsiaTheme="minorHAnsi" w:cstheme="minorHAnsi"/>
                <w:spacing w:val="-1"/>
                <w:sz w:val="22"/>
              </w:rPr>
              <w:t>,000</w:t>
            </w:r>
            <w:r w:rsidR="00ED6D4B">
              <w:rPr>
                <w:rFonts w:eastAsiaTheme="minorHAnsi" w:cstheme="minorHAnsi"/>
                <w:spacing w:val="-1"/>
                <w:sz w:val="22"/>
              </w:rPr>
              <w:t>,</w:t>
            </w:r>
            <w:r w:rsidRPr="006067A2">
              <w:rPr>
                <w:rFonts w:eastAsiaTheme="minorHAnsi" w:cstheme="minorHAnsi"/>
                <w:spacing w:val="-1"/>
                <w:sz w:val="22"/>
              </w:rPr>
              <w:t>001 - $</w:t>
            </w:r>
            <w:r w:rsidR="00B3218C">
              <w:rPr>
                <w:rFonts w:eastAsiaTheme="minorHAnsi" w:cstheme="minorHAnsi"/>
                <w:spacing w:val="-1"/>
                <w:sz w:val="22"/>
              </w:rPr>
              <w:t>4</w:t>
            </w:r>
            <w:r w:rsidRPr="006067A2">
              <w:rPr>
                <w:rFonts w:eastAsiaTheme="minorHAnsi" w:cstheme="minorHAnsi"/>
                <w:spacing w:val="-1"/>
                <w:sz w:val="22"/>
              </w:rPr>
              <w:t>,000,000</w:t>
            </w:r>
          </w:p>
        </w:tc>
      </w:tr>
      <w:tr w:rsidR="00700689" w:rsidRPr="00547B2E" w14:paraId="3F5AD09E" w14:textId="77777777" w:rsidTr="005727E9">
        <w:tc>
          <w:tcPr>
            <w:tcW w:w="1862" w:type="dxa"/>
          </w:tcPr>
          <w:p w14:paraId="4F172162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Officer, Analyst, Advisor</w:t>
            </w:r>
          </w:p>
        </w:tc>
        <w:tc>
          <w:tcPr>
            <w:tcW w:w="1635" w:type="dxa"/>
          </w:tcPr>
          <w:p w14:paraId="45687B20" w14:textId="651F3ABC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794" w:type="dxa"/>
          </w:tcPr>
          <w:p w14:paraId="54486240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X</w:t>
            </w:r>
          </w:p>
        </w:tc>
        <w:tc>
          <w:tcPr>
            <w:tcW w:w="1631" w:type="dxa"/>
          </w:tcPr>
          <w:p w14:paraId="77EE131A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730" w:type="dxa"/>
          </w:tcPr>
          <w:p w14:paraId="035FD532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621" w:type="dxa"/>
          </w:tcPr>
          <w:p w14:paraId="0E827F50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</w:tr>
      <w:tr w:rsidR="00700689" w:rsidRPr="00547B2E" w14:paraId="0347C5BB" w14:textId="77777777" w:rsidTr="005727E9">
        <w:tc>
          <w:tcPr>
            <w:tcW w:w="1862" w:type="dxa"/>
          </w:tcPr>
          <w:p w14:paraId="1A020BDA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Manager, Assoc. Dean, Associate Registrar</w:t>
            </w:r>
          </w:p>
        </w:tc>
        <w:tc>
          <w:tcPr>
            <w:tcW w:w="1635" w:type="dxa"/>
          </w:tcPr>
          <w:p w14:paraId="5B8D647D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*</w:t>
            </w:r>
          </w:p>
        </w:tc>
        <w:tc>
          <w:tcPr>
            <w:tcW w:w="1794" w:type="dxa"/>
          </w:tcPr>
          <w:p w14:paraId="5A54F563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Y</w:t>
            </w:r>
          </w:p>
        </w:tc>
        <w:tc>
          <w:tcPr>
            <w:tcW w:w="1631" w:type="dxa"/>
          </w:tcPr>
          <w:p w14:paraId="0856B8FA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X</w:t>
            </w:r>
          </w:p>
        </w:tc>
        <w:tc>
          <w:tcPr>
            <w:tcW w:w="1730" w:type="dxa"/>
          </w:tcPr>
          <w:p w14:paraId="0202F26A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X</w:t>
            </w:r>
          </w:p>
        </w:tc>
        <w:tc>
          <w:tcPr>
            <w:tcW w:w="1621" w:type="dxa"/>
          </w:tcPr>
          <w:p w14:paraId="461A8AB3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</w:tr>
      <w:tr w:rsidR="00700689" w:rsidRPr="00547B2E" w14:paraId="1297CC12" w14:textId="77777777" w:rsidTr="005727E9">
        <w:tc>
          <w:tcPr>
            <w:tcW w:w="1862" w:type="dxa"/>
          </w:tcPr>
          <w:p w14:paraId="73795319" w14:textId="6674F1E3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Director, Executive Director, AVP, Registrar, Dean</w:t>
            </w:r>
            <w:r w:rsidRPr="006067A2" w:rsidDel="00D2615F">
              <w:rPr>
                <w:rFonts w:eastAsiaTheme="minorHAnsi" w:cstheme="minorHAnsi"/>
                <w:spacing w:val="-1"/>
                <w:sz w:val="22"/>
              </w:rPr>
              <w:t xml:space="preserve"> </w:t>
            </w:r>
          </w:p>
        </w:tc>
        <w:tc>
          <w:tcPr>
            <w:tcW w:w="1635" w:type="dxa"/>
          </w:tcPr>
          <w:p w14:paraId="1075E0D2" w14:textId="2F7072F3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794" w:type="dxa"/>
          </w:tcPr>
          <w:p w14:paraId="153E90B7" w14:textId="07F693D2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631" w:type="dxa"/>
          </w:tcPr>
          <w:p w14:paraId="1C426758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Y</w:t>
            </w:r>
          </w:p>
        </w:tc>
        <w:tc>
          <w:tcPr>
            <w:tcW w:w="1730" w:type="dxa"/>
          </w:tcPr>
          <w:p w14:paraId="3A834A8D" w14:textId="199193F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621" w:type="dxa"/>
          </w:tcPr>
          <w:p w14:paraId="59CFC3CF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</w:tr>
      <w:tr w:rsidR="00700689" w:rsidRPr="00547B2E" w14:paraId="048FC99F" w14:textId="77777777" w:rsidTr="005727E9">
        <w:tc>
          <w:tcPr>
            <w:tcW w:w="1862" w:type="dxa"/>
          </w:tcPr>
          <w:p w14:paraId="647C8948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 xml:space="preserve">VP/General Counsel, Provost </w:t>
            </w:r>
          </w:p>
        </w:tc>
        <w:tc>
          <w:tcPr>
            <w:tcW w:w="1635" w:type="dxa"/>
          </w:tcPr>
          <w:p w14:paraId="18AB7895" w14:textId="00E638CF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794" w:type="dxa"/>
          </w:tcPr>
          <w:p w14:paraId="053DB56A" w14:textId="1B1E1B05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631" w:type="dxa"/>
          </w:tcPr>
          <w:p w14:paraId="2B654959" w14:textId="6CFF3CAC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730" w:type="dxa"/>
          </w:tcPr>
          <w:p w14:paraId="67BBAAC1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Y</w:t>
            </w:r>
          </w:p>
        </w:tc>
        <w:tc>
          <w:tcPr>
            <w:tcW w:w="1621" w:type="dxa"/>
          </w:tcPr>
          <w:p w14:paraId="25929CA2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X</w:t>
            </w:r>
          </w:p>
        </w:tc>
      </w:tr>
      <w:tr w:rsidR="00700689" w:rsidRPr="00547B2E" w14:paraId="45E3E514" w14:textId="77777777" w:rsidTr="005727E9">
        <w:tc>
          <w:tcPr>
            <w:tcW w:w="1862" w:type="dxa"/>
          </w:tcPr>
          <w:p w14:paraId="1B369947" w14:textId="16C77E1F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President</w:t>
            </w:r>
          </w:p>
        </w:tc>
        <w:tc>
          <w:tcPr>
            <w:tcW w:w="1635" w:type="dxa"/>
          </w:tcPr>
          <w:p w14:paraId="18A2FB55" w14:textId="7E3E2F38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794" w:type="dxa"/>
          </w:tcPr>
          <w:p w14:paraId="3F90AABE" w14:textId="32A66DE2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631" w:type="dxa"/>
          </w:tcPr>
          <w:p w14:paraId="2BF32413" w14:textId="35D2385D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730" w:type="dxa"/>
          </w:tcPr>
          <w:p w14:paraId="29BBB9B5" w14:textId="5CC929A4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</w:p>
        </w:tc>
        <w:tc>
          <w:tcPr>
            <w:tcW w:w="1621" w:type="dxa"/>
          </w:tcPr>
          <w:p w14:paraId="21D00F33" w14:textId="77777777" w:rsidR="00700689" w:rsidRPr="006067A2" w:rsidRDefault="00700689" w:rsidP="00700689">
            <w:pPr>
              <w:spacing w:before="5" w:after="0"/>
              <w:rPr>
                <w:rFonts w:eastAsiaTheme="minorHAnsi" w:cstheme="minorHAnsi"/>
                <w:spacing w:val="-1"/>
                <w:sz w:val="22"/>
              </w:rPr>
            </w:pPr>
            <w:r w:rsidRPr="006067A2">
              <w:rPr>
                <w:rFonts w:eastAsiaTheme="minorHAnsi" w:cstheme="minorHAnsi"/>
                <w:spacing w:val="-1"/>
                <w:sz w:val="22"/>
              </w:rPr>
              <w:t>Y</w:t>
            </w:r>
          </w:p>
        </w:tc>
      </w:tr>
    </w:tbl>
    <w:p w14:paraId="52D80A07" w14:textId="77777777" w:rsidR="00700689" w:rsidRPr="006067A2" w:rsidRDefault="00700689" w:rsidP="00700689">
      <w:pPr>
        <w:widowControl w:val="0"/>
        <w:spacing w:before="5" w:after="0"/>
        <w:ind w:left="720"/>
        <w:rPr>
          <w:rFonts w:eastAsiaTheme="minorHAnsi" w:cstheme="minorHAnsi"/>
          <w:spacing w:val="-1"/>
          <w:sz w:val="22"/>
        </w:rPr>
      </w:pPr>
    </w:p>
    <w:p w14:paraId="49D7A5B8" w14:textId="19C6FE90" w:rsidR="00CF5C26" w:rsidRPr="006067A2" w:rsidRDefault="00CF5C26" w:rsidP="006067A2">
      <w:pPr>
        <w:widowControl w:val="0"/>
        <w:spacing w:before="5" w:after="0"/>
        <w:rPr>
          <w:rFonts w:eastAsiaTheme="minorHAnsi" w:cstheme="minorHAnsi"/>
          <w:spacing w:val="-1"/>
          <w:sz w:val="22"/>
        </w:rPr>
      </w:pPr>
      <w:r w:rsidRPr="006067A2">
        <w:rPr>
          <w:rFonts w:eastAsiaTheme="minorHAnsi" w:cstheme="minorHAnsi"/>
          <w:spacing w:val="-1"/>
          <w:sz w:val="22"/>
        </w:rPr>
        <w:t xml:space="preserve">              * = minimum authority for single signing</w:t>
      </w:r>
    </w:p>
    <w:p w14:paraId="45059F9C" w14:textId="2C4F5AF6" w:rsidR="00700689" w:rsidRPr="006067A2" w:rsidRDefault="00700689" w:rsidP="00700689">
      <w:pPr>
        <w:widowControl w:val="0"/>
        <w:spacing w:before="5" w:after="0"/>
        <w:ind w:left="720"/>
        <w:rPr>
          <w:rFonts w:eastAsiaTheme="minorHAnsi" w:cstheme="minorHAnsi"/>
          <w:spacing w:val="-1"/>
          <w:sz w:val="22"/>
        </w:rPr>
      </w:pPr>
      <w:r w:rsidRPr="006067A2">
        <w:rPr>
          <w:rFonts w:eastAsiaTheme="minorHAnsi" w:cstheme="minorHAnsi"/>
          <w:spacing w:val="-1"/>
          <w:sz w:val="22"/>
        </w:rPr>
        <w:t xml:space="preserve">X = </w:t>
      </w:r>
      <w:r w:rsidR="00863055" w:rsidRPr="006067A2">
        <w:rPr>
          <w:rFonts w:eastAsiaTheme="minorHAnsi" w:cstheme="minorHAnsi"/>
          <w:spacing w:val="-1"/>
          <w:sz w:val="22"/>
        </w:rPr>
        <w:t>minimum</w:t>
      </w:r>
      <w:r w:rsidR="00CF5C26" w:rsidRPr="006067A2">
        <w:rPr>
          <w:rFonts w:eastAsiaTheme="minorHAnsi" w:cstheme="minorHAnsi"/>
          <w:spacing w:val="-1"/>
          <w:sz w:val="22"/>
        </w:rPr>
        <w:t xml:space="preserve"> authority for </w:t>
      </w:r>
      <w:r w:rsidRPr="006067A2">
        <w:rPr>
          <w:rFonts w:eastAsiaTheme="minorHAnsi" w:cstheme="minorHAnsi"/>
          <w:spacing w:val="-1"/>
          <w:sz w:val="22"/>
        </w:rPr>
        <w:t>first approver (</w:t>
      </w:r>
      <w:r w:rsidR="00CF5C26" w:rsidRPr="006067A2">
        <w:rPr>
          <w:rFonts w:eastAsiaTheme="minorHAnsi" w:cstheme="minorHAnsi"/>
          <w:spacing w:val="-1"/>
          <w:sz w:val="22"/>
        </w:rPr>
        <w:t xml:space="preserve">at least </w:t>
      </w:r>
      <w:r w:rsidRPr="006067A2">
        <w:rPr>
          <w:rFonts w:eastAsiaTheme="minorHAnsi" w:cstheme="minorHAnsi"/>
          <w:spacing w:val="-1"/>
          <w:sz w:val="22"/>
        </w:rPr>
        <w:t>one of)</w:t>
      </w:r>
    </w:p>
    <w:p w14:paraId="03C90130" w14:textId="5D706BD5" w:rsidR="00700689" w:rsidRPr="006067A2" w:rsidRDefault="00700689" w:rsidP="00700689">
      <w:pPr>
        <w:widowControl w:val="0"/>
        <w:spacing w:before="5" w:after="0"/>
        <w:ind w:left="720"/>
        <w:rPr>
          <w:rFonts w:eastAsiaTheme="minorHAnsi" w:cstheme="minorHAnsi"/>
          <w:spacing w:val="-1"/>
          <w:sz w:val="22"/>
        </w:rPr>
      </w:pPr>
      <w:r w:rsidRPr="006067A2">
        <w:rPr>
          <w:rFonts w:eastAsiaTheme="minorHAnsi" w:cstheme="minorHAnsi"/>
          <w:spacing w:val="-1"/>
          <w:sz w:val="22"/>
        </w:rPr>
        <w:lastRenderedPageBreak/>
        <w:t xml:space="preserve">Y = </w:t>
      </w:r>
      <w:r w:rsidR="00863055" w:rsidRPr="006067A2">
        <w:rPr>
          <w:rFonts w:eastAsiaTheme="minorHAnsi" w:cstheme="minorHAnsi"/>
          <w:spacing w:val="-1"/>
          <w:sz w:val="22"/>
        </w:rPr>
        <w:t xml:space="preserve">minimum </w:t>
      </w:r>
      <w:r w:rsidR="00CF5C26" w:rsidRPr="006067A2">
        <w:rPr>
          <w:rFonts w:eastAsiaTheme="minorHAnsi" w:cstheme="minorHAnsi"/>
          <w:spacing w:val="-1"/>
          <w:sz w:val="22"/>
        </w:rPr>
        <w:t xml:space="preserve">authority for </w:t>
      </w:r>
      <w:r w:rsidRPr="006067A2">
        <w:rPr>
          <w:rFonts w:eastAsiaTheme="minorHAnsi" w:cstheme="minorHAnsi"/>
          <w:spacing w:val="-1"/>
          <w:sz w:val="22"/>
        </w:rPr>
        <w:t>second approver (</w:t>
      </w:r>
      <w:r w:rsidR="00CF5C26" w:rsidRPr="006067A2">
        <w:rPr>
          <w:rFonts w:eastAsiaTheme="minorHAnsi" w:cstheme="minorHAnsi"/>
          <w:spacing w:val="-1"/>
          <w:sz w:val="22"/>
        </w:rPr>
        <w:t xml:space="preserve">at least </w:t>
      </w:r>
      <w:r w:rsidRPr="006067A2">
        <w:rPr>
          <w:rFonts w:eastAsiaTheme="minorHAnsi" w:cstheme="minorHAnsi"/>
          <w:spacing w:val="-1"/>
          <w:sz w:val="22"/>
        </w:rPr>
        <w:t>one of)</w:t>
      </w:r>
    </w:p>
    <w:p w14:paraId="513F35ED" w14:textId="77777777" w:rsidR="00700689" w:rsidRPr="006067A2" w:rsidRDefault="00700689" w:rsidP="00700689">
      <w:pPr>
        <w:widowControl w:val="0"/>
        <w:spacing w:before="5" w:after="0"/>
        <w:ind w:left="720"/>
        <w:rPr>
          <w:rFonts w:eastAsiaTheme="minorHAnsi" w:cstheme="minorHAnsi"/>
          <w:spacing w:val="-1"/>
          <w:sz w:val="22"/>
        </w:rPr>
      </w:pPr>
    </w:p>
    <w:p w14:paraId="01049460" w14:textId="77777777" w:rsidR="00700689" w:rsidRPr="006067A2" w:rsidRDefault="00700689" w:rsidP="00700689">
      <w:pPr>
        <w:widowControl w:val="0"/>
        <w:spacing w:before="5" w:after="0"/>
        <w:rPr>
          <w:rFonts w:eastAsiaTheme="minorHAnsi" w:cstheme="minorHAnsi"/>
          <w:b/>
          <w:spacing w:val="-1"/>
          <w:sz w:val="22"/>
        </w:rPr>
      </w:pPr>
      <w:r w:rsidRPr="006067A2">
        <w:rPr>
          <w:rFonts w:eastAsiaTheme="minorHAnsi" w:cstheme="minorHAnsi"/>
          <w:b/>
          <w:spacing w:val="-1"/>
          <w:sz w:val="22"/>
        </w:rPr>
        <w:t xml:space="preserve">Research – Expenditure of grant funds </w:t>
      </w:r>
    </w:p>
    <w:p w14:paraId="27BCE119" w14:textId="77777777" w:rsidR="00700689" w:rsidRPr="006067A2" w:rsidRDefault="00700689" w:rsidP="00700689">
      <w:pPr>
        <w:widowControl w:val="0"/>
        <w:spacing w:before="5" w:after="0"/>
        <w:rPr>
          <w:rFonts w:eastAsiaTheme="minorHAnsi" w:cstheme="minorHAnsi"/>
          <w:spacing w:val="-1"/>
          <w:sz w:val="22"/>
        </w:rPr>
      </w:pPr>
    </w:p>
    <w:p w14:paraId="5E1BA10E" w14:textId="733CC4FA" w:rsidR="0070173F" w:rsidRPr="006067A2" w:rsidRDefault="00700689" w:rsidP="006067A2">
      <w:pPr>
        <w:ind w:left="720" w:hanging="720"/>
        <w:rPr>
          <w:rFonts w:cstheme="minorHAnsi"/>
          <w:b/>
          <w:sz w:val="22"/>
        </w:rPr>
      </w:pPr>
      <w:r w:rsidRPr="006067A2">
        <w:rPr>
          <w:rFonts w:eastAsiaTheme="minorHAnsi" w:cstheme="minorHAnsi"/>
          <w:spacing w:val="-1"/>
          <w:sz w:val="22"/>
        </w:rPr>
        <w:t>A.3</w:t>
      </w:r>
      <w:r w:rsidRPr="006067A2">
        <w:rPr>
          <w:rFonts w:eastAsiaTheme="minorHAnsi" w:cstheme="minorHAnsi"/>
          <w:spacing w:val="-1"/>
          <w:sz w:val="22"/>
        </w:rPr>
        <w:tab/>
        <w:t>For Expenditures and contracts funded by research funds (i.e. research funds from external or internal sources), the 1</w:t>
      </w:r>
      <w:r w:rsidRPr="006067A2">
        <w:rPr>
          <w:rFonts w:eastAsiaTheme="minorHAnsi" w:cstheme="minorHAnsi"/>
          <w:spacing w:val="-1"/>
          <w:sz w:val="22"/>
          <w:vertAlign w:val="superscript"/>
        </w:rPr>
        <w:t>st</w:t>
      </w:r>
      <w:r w:rsidRPr="006067A2">
        <w:rPr>
          <w:rFonts w:eastAsiaTheme="minorHAnsi" w:cstheme="minorHAnsi"/>
          <w:spacing w:val="-1"/>
          <w:sz w:val="22"/>
        </w:rPr>
        <w:t xml:space="preserve"> approver is the fund-holder or PI, and the 2</w:t>
      </w:r>
      <w:r w:rsidRPr="006067A2">
        <w:rPr>
          <w:rFonts w:eastAsiaTheme="minorHAnsi" w:cstheme="minorHAnsi"/>
          <w:spacing w:val="-1"/>
          <w:sz w:val="22"/>
          <w:vertAlign w:val="superscript"/>
        </w:rPr>
        <w:t>nd</w:t>
      </w:r>
      <w:r w:rsidRPr="006067A2">
        <w:rPr>
          <w:rFonts w:eastAsiaTheme="minorHAnsi" w:cstheme="minorHAnsi"/>
          <w:spacing w:val="-1"/>
          <w:sz w:val="22"/>
        </w:rPr>
        <w:t xml:space="preserve"> approver is their Dean.  All Expenditures or contracts will be within the budget of the particular research fund. </w:t>
      </w:r>
    </w:p>
    <w:sectPr w:rsidR="0070173F" w:rsidRPr="006067A2" w:rsidSect="006067A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2" w:author="Author" w:initials="A">
    <w:p w14:paraId="6F7D9E75" w14:textId="77777777" w:rsidR="00700689" w:rsidRDefault="00700689" w:rsidP="00700689">
      <w:pPr>
        <w:pStyle w:val="CommentText"/>
      </w:pPr>
      <w:r>
        <w:rPr>
          <w:rStyle w:val="CommentReference"/>
        </w:rPr>
        <w:annotationRef/>
      </w:r>
      <w:r>
        <w:t>To attach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F7D9E7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F7D9E75" w16cid:durableId="240C443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06392C" w14:textId="77777777" w:rsidR="00E57CA9" w:rsidRDefault="00E57CA9" w:rsidP="00F833CD">
      <w:r>
        <w:separator/>
      </w:r>
    </w:p>
  </w:endnote>
  <w:endnote w:type="continuationSeparator" w:id="0">
    <w:p w14:paraId="200E31FC" w14:textId="77777777" w:rsidR="00E57CA9" w:rsidRDefault="00E57CA9" w:rsidP="00F833CD">
      <w:r>
        <w:continuationSeparator/>
      </w:r>
    </w:p>
  </w:endnote>
  <w:endnote w:id="1">
    <w:p w14:paraId="08CDB376" w14:textId="6A64B220" w:rsidR="00292AF5" w:rsidRDefault="00292AF5" w:rsidP="00292AF5">
      <w:pPr>
        <w:widowControl w:val="0"/>
        <w:spacing w:before="5" w:after="0"/>
        <w:rPr>
          <w:rFonts w:eastAsiaTheme="minorHAnsi" w:cstheme="minorHAnsi"/>
          <w:b/>
          <w:spacing w:val="-1"/>
          <w:sz w:val="22"/>
        </w:rPr>
      </w:pPr>
      <w:r>
        <w:rPr>
          <w:rStyle w:val="EndnoteReference"/>
        </w:rPr>
        <w:endnoteRef/>
      </w:r>
      <w:r>
        <w:t xml:space="preserve"> Appointment of External Auditors, Banking agreements, and the Purchase or Sale of Real Property require, in addition to the above, require approval of the VP Admin.</w:t>
      </w:r>
    </w:p>
    <w:p w14:paraId="6DB4C35F" w14:textId="10C55D3B" w:rsidR="00292AF5" w:rsidRDefault="00292AF5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16894" w14:textId="77777777" w:rsidR="00F77638" w:rsidRDefault="00F776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41095610"/>
      <w:docPartObj>
        <w:docPartGallery w:val="Page Numbers (Bottom of Page)"/>
        <w:docPartUnique/>
      </w:docPartObj>
    </w:sdtPr>
    <w:sdtEndPr/>
    <w:sdtContent>
      <w:sdt>
        <w:sdtPr>
          <w:id w:val="-1251501480"/>
          <w:docPartObj>
            <w:docPartGallery w:val="Page Numbers (Top of Page)"/>
            <w:docPartUnique/>
          </w:docPartObj>
        </w:sdtPr>
        <w:sdtEndPr/>
        <w:sdtContent>
          <w:p w14:paraId="0A07D87A" w14:textId="12ACA188" w:rsidR="00BC6AAC" w:rsidRDefault="00BC6A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AF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AF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A086CC0" w14:textId="77777777" w:rsidR="003F55A7" w:rsidRPr="003F55A7" w:rsidRDefault="003F55A7" w:rsidP="00CD53C5">
    <w:pPr>
      <w:pStyle w:val="Footer"/>
      <w:tabs>
        <w:tab w:val="clear" w:pos="9360"/>
        <w:tab w:val="right" w:pos="9270"/>
      </w:tabs>
      <w:spacing w:before="80"/>
      <w:rPr>
        <w:b/>
        <w:color w:val="4F81BD" w:themeColor="accent1"/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609392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4E65060" w14:textId="65B78A60" w:rsidR="00BC6AAC" w:rsidRDefault="00BC6AA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AF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2AF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2A6533C" w14:textId="77777777" w:rsidR="00BC6AAC" w:rsidRDefault="00BC6A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77C39" w14:textId="77777777" w:rsidR="00E57CA9" w:rsidRDefault="00E57CA9" w:rsidP="00F833CD">
      <w:r>
        <w:separator/>
      </w:r>
    </w:p>
  </w:footnote>
  <w:footnote w:type="continuationSeparator" w:id="0">
    <w:p w14:paraId="30A432D9" w14:textId="77777777" w:rsidR="00E57CA9" w:rsidRDefault="00E57CA9" w:rsidP="00F833CD">
      <w:r>
        <w:continuationSeparator/>
      </w:r>
    </w:p>
  </w:footnote>
  <w:footnote w:id="1">
    <w:p w14:paraId="5D1FF4D0" w14:textId="74B668F1" w:rsidR="00CD53C5" w:rsidRPr="00CD53C5" w:rsidRDefault="00CD53C5" w:rsidP="00CD53C5">
      <w:pPr>
        <w:tabs>
          <w:tab w:val="left" w:pos="360"/>
        </w:tabs>
        <w:rPr>
          <w:rFonts w:cstheme="minorHAnsi"/>
          <w:szCs w:val="20"/>
          <w:lang w:val="en-CA"/>
        </w:rPr>
      </w:pPr>
      <w:r w:rsidRPr="00CD53C5">
        <w:rPr>
          <w:rStyle w:val="FootnoteReference"/>
          <w:rFonts w:cstheme="minorHAnsi"/>
          <w:color w:val="FFFFFF" w:themeColor="background1"/>
          <w:szCs w:val="20"/>
        </w:rPr>
        <w:footnoteRef/>
      </w:r>
      <w:r w:rsidRPr="00CD53C5">
        <w:rPr>
          <w:rFonts w:cstheme="minorHAnsi"/>
          <w:color w:val="FFFFFF" w:themeColor="background1"/>
          <w:szCs w:val="20"/>
        </w:rPr>
        <w:t xml:space="preserve"> </w:t>
      </w:r>
      <w:r w:rsidRPr="00CD53C5">
        <w:rPr>
          <w:rFonts w:cstheme="minorHAnsi"/>
          <w:szCs w:val="20"/>
          <w:lang w:val="en-CA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DB5DD" w14:textId="77777777" w:rsidR="00F77638" w:rsidRDefault="00F776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151649"/>
      <w:docPartObj>
        <w:docPartGallery w:val="Watermarks"/>
        <w:docPartUnique/>
      </w:docPartObj>
    </w:sdtPr>
    <w:sdtContent>
      <w:p w14:paraId="780A071D" w14:textId="0D5B6842" w:rsidR="00F77638" w:rsidRDefault="00FA6ED1">
        <w:pPr>
          <w:pStyle w:val="Header"/>
        </w:pPr>
        <w:r>
          <w:rPr>
            <w:noProof/>
          </w:rPr>
          <w:pict w14:anchorId="3D9117B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2"/>
      <w:tblW w:w="5269" w:type="dxa"/>
      <w:tblInd w:w="4739" w:type="dxa"/>
      <w:shd w:val="clear" w:color="auto" w:fill="DBE5F1" w:themeFill="accent1" w:themeFillTint="33"/>
      <w:tblLook w:val="04A0" w:firstRow="1" w:lastRow="0" w:firstColumn="1" w:lastColumn="0" w:noHBand="0" w:noVBand="1"/>
    </w:tblPr>
    <w:tblGrid>
      <w:gridCol w:w="2032"/>
      <w:gridCol w:w="3237"/>
    </w:tblGrid>
    <w:tr w:rsidR="00BC6AAC" w:rsidRPr="00CB5F79" w14:paraId="2842D790" w14:textId="77777777" w:rsidTr="003E1550">
      <w:trPr>
        <w:trHeight w:val="260"/>
      </w:trPr>
      <w:tc>
        <w:tcPr>
          <w:tcW w:w="2032" w:type="dxa"/>
          <w:shd w:val="clear" w:color="auto" w:fill="DBE5F1" w:themeFill="accent1" w:themeFillTint="33"/>
        </w:tcPr>
        <w:p w14:paraId="374E3253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>Classification</w:t>
          </w:r>
        </w:p>
      </w:tc>
      <w:tc>
        <w:tcPr>
          <w:tcW w:w="3237" w:type="dxa"/>
          <w:shd w:val="clear" w:color="auto" w:fill="DBE5F1" w:themeFill="accent1" w:themeFillTint="33"/>
        </w:tcPr>
        <w:p w14:paraId="4DED6B86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rPr>
              <w:rFonts w:cs="Times New Roman"/>
              <w:szCs w:val="24"/>
              <w:lang w:eastAsia="en-CA"/>
            </w:rPr>
            <w:t>LCG 1132.01</w:t>
          </w:r>
        </w:p>
      </w:tc>
    </w:tr>
    <w:tr w:rsidR="00BC6AAC" w:rsidRPr="00CB5F79" w14:paraId="2A9C225F" w14:textId="77777777" w:rsidTr="003E1550">
      <w:tc>
        <w:tcPr>
          <w:tcW w:w="2032" w:type="dxa"/>
          <w:shd w:val="clear" w:color="auto" w:fill="DBE5F1" w:themeFill="accent1" w:themeFillTint="33"/>
        </w:tcPr>
        <w:p w14:paraId="275467A9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>Parent Policy</w:t>
          </w:r>
        </w:p>
      </w:tc>
      <w:tc>
        <w:tcPr>
          <w:tcW w:w="3237" w:type="dxa"/>
          <w:shd w:val="clear" w:color="auto" w:fill="DBE5F1" w:themeFill="accent1" w:themeFillTint="33"/>
        </w:tcPr>
        <w:p w14:paraId="6C1988A5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rPr>
              <w:rFonts w:cs="Times New Roman"/>
              <w:szCs w:val="24"/>
              <w:lang w:eastAsia="en-CA"/>
            </w:rPr>
            <w:t>Signing Authority Policy</w:t>
          </w:r>
        </w:p>
      </w:tc>
    </w:tr>
    <w:tr w:rsidR="00BC6AAC" w:rsidRPr="00CB5F79" w14:paraId="6CD792B6" w14:textId="77777777" w:rsidTr="003E1550">
      <w:tc>
        <w:tcPr>
          <w:tcW w:w="2032" w:type="dxa"/>
          <w:shd w:val="clear" w:color="auto" w:fill="DBE5F1" w:themeFill="accent1" w:themeFillTint="33"/>
        </w:tcPr>
        <w:p w14:paraId="42DF56E0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>Framework Category</w:t>
          </w:r>
        </w:p>
      </w:tc>
      <w:tc>
        <w:tcPr>
          <w:tcW w:w="3237" w:type="dxa"/>
          <w:shd w:val="clear" w:color="auto" w:fill="DBE5F1" w:themeFill="accent1" w:themeFillTint="33"/>
        </w:tcPr>
        <w:p w14:paraId="0D14AA57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 xml:space="preserve">Legal, Compliance &amp; Governance </w:t>
          </w:r>
        </w:p>
      </w:tc>
    </w:tr>
    <w:tr w:rsidR="00BC6AAC" w:rsidRPr="00CB5F79" w14:paraId="6C143422" w14:textId="77777777" w:rsidTr="003E1550">
      <w:tc>
        <w:tcPr>
          <w:tcW w:w="2032" w:type="dxa"/>
          <w:shd w:val="clear" w:color="auto" w:fill="DBE5F1" w:themeFill="accent1" w:themeFillTint="33"/>
        </w:tcPr>
        <w:p w14:paraId="2524386B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>Approving Authority</w:t>
          </w:r>
        </w:p>
      </w:tc>
      <w:tc>
        <w:tcPr>
          <w:tcW w:w="3237" w:type="dxa"/>
          <w:shd w:val="clear" w:color="auto" w:fill="DBE5F1" w:themeFill="accent1" w:themeFillTint="33"/>
        </w:tcPr>
        <w:p w14:paraId="799534B6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rPr>
              <w:rFonts w:cs="Times New Roman"/>
              <w:szCs w:val="24"/>
              <w:lang w:eastAsia="en-CA"/>
            </w:rPr>
            <w:t>Senior Leadership Team</w:t>
          </w:r>
        </w:p>
      </w:tc>
    </w:tr>
    <w:tr w:rsidR="00BC6AAC" w:rsidRPr="00CB5F79" w14:paraId="79D4DD6A" w14:textId="77777777" w:rsidTr="003E1550">
      <w:tc>
        <w:tcPr>
          <w:tcW w:w="2032" w:type="dxa"/>
          <w:shd w:val="clear" w:color="auto" w:fill="DBE5F1" w:themeFill="accent1" w:themeFillTint="33"/>
        </w:tcPr>
        <w:p w14:paraId="5E20ECAB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>Policy Owner</w:t>
          </w:r>
        </w:p>
      </w:tc>
      <w:tc>
        <w:tcPr>
          <w:tcW w:w="3237" w:type="dxa"/>
          <w:shd w:val="clear" w:color="auto" w:fill="DBE5F1" w:themeFill="accent1" w:themeFillTint="33"/>
        </w:tcPr>
        <w:p w14:paraId="302440C0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rPr>
              <w:rFonts w:cs="Times New Roman"/>
              <w:szCs w:val="24"/>
              <w:lang w:eastAsia="en-CA"/>
            </w:rPr>
            <w:t>Chief Financial Officer</w:t>
          </w:r>
        </w:p>
      </w:tc>
    </w:tr>
    <w:tr w:rsidR="00BC6AAC" w:rsidRPr="00CB5F79" w14:paraId="03D65B9E" w14:textId="77777777" w:rsidTr="003E1550">
      <w:tc>
        <w:tcPr>
          <w:tcW w:w="2032" w:type="dxa"/>
          <w:shd w:val="clear" w:color="auto" w:fill="DBE5F1" w:themeFill="accent1" w:themeFillTint="33"/>
        </w:tcPr>
        <w:p w14:paraId="763F1946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>Approval Date</w:t>
          </w:r>
        </w:p>
      </w:tc>
      <w:tc>
        <w:tcPr>
          <w:tcW w:w="3237" w:type="dxa"/>
          <w:shd w:val="clear" w:color="auto" w:fill="DBE5F1" w:themeFill="accent1" w:themeFillTint="33"/>
        </w:tcPr>
        <w:p w14:paraId="6DB996AD" w14:textId="0AA2B454" w:rsidR="00BC6AAC" w:rsidRPr="00CB5F79" w:rsidRDefault="00F77638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rPr>
              <w:rFonts w:cs="Times New Roman"/>
              <w:szCs w:val="24"/>
              <w:lang w:eastAsia="en-CA"/>
            </w:rPr>
            <w:t>DRAFT FOR REVIEW</w:t>
          </w:r>
        </w:p>
      </w:tc>
    </w:tr>
    <w:tr w:rsidR="00BC6AAC" w:rsidRPr="00CB5F79" w14:paraId="0B945AFA" w14:textId="77777777" w:rsidTr="003E1550">
      <w:tc>
        <w:tcPr>
          <w:tcW w:w="2032" w:type="dxa"/>
          <w:shd w:val="clear" w:color="auto" w:fill="DBE5F1" w:themeFill="accent1" w:themeFillTint="33"/>
        </w:tcPr>
        <w:p w14:paraId="51857E1C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>Review Date</w:t>
          </w:r>
        </w:p>
      </w:tc>
      <w:tc>
        <w:tcPr>
          <w:tcW w:w="3237" w:type="dxa"/>
          <w:shd w:val="clear" w:color="auto" w:fill="DBE5F1" w:themeFill="accent1" w:themeFillTint="33"/>
        </w:tcPr>
        <w:p w14:paraId="0943DD7B" w14:textId="77777777" w:rsidR="00BC6AAC" w:rsidRPr="00CB5F79" w:rsidRDefault="009122CA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rPr>
              <w:rFonts w:cs="Times New Roman"/>
              <w:szCs w:val="24"/>
              <w:lang w:eastAsia="en-CA"/>
            </w:rPr>
            <w:t>February 2019</w:t>
          </w:r>
        </w:p>
      </w:tc>
    </w:tr>
    <w:tr w:rsidR="0050071A" w:rsidRPr="00CB5F79" w14:paraId="7A32AF9A" w14:textId="77777777" w:rsidTr="003E1550">
      <w:tc>
        <w:tcPr>
          <w:tcW w:w="2032" w:type="dxa"/>
          <w:shd w:val="clear" w:color="auto" w:fill="DBE5F1" w:themeFill="accent1" w:themeFillTint="33"/>
        </w:tcPr>
        <w:p w14:paraId="5572F180" w14:textId="77777777" w:rsidR="0050071A" w:rsidRPr="00CB5F79" w:rsidRDefault="0050071A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rPr>
              <w:rFonts w:cs="Times New Roman"/>
              <w:szCs w:val="24"/>
              <w:lang w:eastAsia="en-CA"/>
            </w:rPr>
            <w:t>Last Updated</w:t>
          </w:r>
        </w:p>
      </w:tc>
      <w:tc>
        <w:tcPr>
          <w:tcW w:w="3237" w:type="dxa"/>
          <w:shd w:val="clear" w:color="auto" w:fill="DBE5F1" w:themeFill="accent1" w:themeFillTint="33"/>
        </w:tcPr>
        <w:p w14:paraId="35A79CAF" w14:textId="77777777" w:rsidR="0050071A" w:rsidRDefault="0050071A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t>Editorial Amendments, February 18, 2020</w:t>
          </w:r>
        </w:p>
      </w:tc>
    </w:tr>
    <w:tr w:rsidR="00BC6AAC" w:rsidRPr="00CB5F79" w14:paraId="63308DC1" w14:textId="77777777" w:rsidTr="009122CA">
      <w:trPr>
        <w:trHeight w:val="70"/>
      </w:trPr>
      <w:tc>
        <w:tcPr>
          <w:tcW w:w="2032" w:type="dxa"/>
          <w:shd w:val="clear" w:color="auto" w:fill="DBE5F1" w:themeFill="accent1" w:themeFillTint="33"/>
        </w:tcPr>
        <w:p w14:paraId="05879279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 w:rsidRPr="00CB5F79">
            <w:rPr>
              <w:rFonts w:cs="Times New Roman"/>
              <w:szCs w:val="24"/>
              <w:lang w:eastAsia="en-CA"/>
            </w:rPr>
            <w:t>Supersedes</w:t>
          </w:r>
        </w:p>
      </w:tc>
      <w:tc>
        <w:tcPr>
          <w:tcW w:w="3237" w:type="dxa"/>
          <w:shd w:val="clear" w:color="auto" w:fill="DBE5F1" w:themeFill="accent1" w:themeFillTint="33"/>
        </w:tcPr>
        <w:p w14:paraId="3D0AD23F" w14:textId="77777777" w:rsidR="00BC6AAC" w:rsidRPr="00CB5F79" w:rsidRDefault="00BC6AAC" w:rsidP="00BC6AAC">
          <w:pPr>
            <w:tabs>
              <w:tab w:val="center" w:pos="4680"/>
              <w:tab w:val="right" w:pos="9360"/>
            </w:tabs>
            <w:spacing w:after="0"/>
            <w:rPr>
              <w:rFonts w:cs="Times New Roman"/>
              <w:szCs w:val="24"/>
              <w:lang w:eastAsia="en-CA"/>
            </w:rPr>
          </w:pPr>
          <w:r>
            <w:rPr>
              <w:rFonts w:cs="Times New Roman"/>
              <w:szCs w:val="24"/>
              <w:lang w:eastAsia="en-CA"/>
            </w:rPr>
            <w:t>Signing Authority Registry and Approval Procedures,</w:t>
          </w:r>
          <w:r w:rsidR="009122CA">
            <w:rPr>
              <w:rFonts w:cs="Times New Roman"/>
              <w:szCs w:val="24"/>
              <w:lang w:eastAsia="en-CA"/>
            </w:rPr>
            <w:t xml:space="preserve"> November 2012;</w:t>
          </w:r>
          <w:r>
            <w:rPr>
              <w:rFonts w:cs="Times New Roman"/>
              <w:szCs w:val="24"/>
              <w:lang w:eastAsia="en-CA"/>
            </w:rPr>
            <w:t xml:space="preserve"> December 2008</w:t>
          </w:r>
        </w:p>
      </w:tc>
    </w:tr>
  </w:tbl>
  <w:p w14:paraId="58BB2145" w14:textId="77777777" w:rsidR="00BC6AAC" w:rsidRDefault="00BC6A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235E"/>
    <w:multiLevelType w:val="multilevel"/>
    <w:tmpl w:val="FF8647F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2D63B6"/>
    <w:multiLevelType w:val="hybridMultilevel"/>
    <w:tmpl w:val="03089298"/>
    <w:lvl w:ilvl="0" w:tplc="04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A7B21"/>
    <w:multiLevelType w:val="hybridMultilevel"/>
    <w:tmpl w:val="E4C2A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C60D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AF22A0E"/>
    <w:multiLevelType w:val="hybridMultilevel"/>
    <w:tmpl w:val="4078C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329A9"/>
    <w:multiLevelType w:val="hybridMultilevel"/>
    <w:tmpl w:val="C988DF4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B4567A"/>
    <w:multiLevelType w:val="hybridMultilevel"/>
    <w:tmpl w:val="13DE96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310DDE"/>
    <w:multiLevelType w:val="hybridMultilevel"/>
    <w:tmpl w:val="50704234"/>
    <w:lvl w:ilvl="0" w:tplc="5B4CD7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AC416F"/>
    <w:multiLevelType w:val="multilevel"/>
    <w:tmpl w:val="FBFC9A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CBA427F"/>
    <w:multiLevelType w:val="hybridMultilevel"/>
    <w:tmpl w:val="B538AF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FAA775E"/>
    <w:multiLevelType w:val="hybridMultilevel"/>
    <w:tmpl w:val="422CF09C"/>
    <w:lvl w:ilvl="0" w:tplc="8FA4F4A6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310D69C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5E71728"/>
    <w:multiLevelType w:val="multilevel"/>
    <w:tmpl w:val="858E2A38"/>
    <w:lvl w:ilvl="0">
      <w:start w:val="3"/>
      <w:numFmt w:val="decimal"/>
      <w:lvlText w:val="%1"/>
      <w:lvlJc w:val="left"/>
      <w:pPr>
        <w:ind w:left="154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40" w:hanging="720"/>
        <w:jc w:val="right"/>
      </w:pPr>
      <w:rPr>
        <w:rFonts w:ascii="Calibri" w:eastAsia="Calibri" w:hAnsi="Calibri" w:hint="default"/>
        <w:b/>
        <w:bCs/>
        <w:sz w:val="22"/>
        <w:szCs w:val="22"/>
      </w:rPr>
    </w:lvl>
    <w:lvl w:ilvl="2">
      <w:start w:val="1"/>
      <w:numFmt w:val="bullet"/>
      <w:lvlText w:val=""/>
      <w:lvlJc w:val="left"/>
      <w:pPr>
        <w:ind w:left="152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326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2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60" w:hanging="360"/>
      </w:pPr>
      <w:rPr>
        <w:rFonts w:hint="default"/>
      </w:rPr>
    </w:lvl>
  </w:abstractNum>
  <w:abstractNum w:abstractNumId="13" w15:restartNumberingAfterBreak="0">
    <w:nsid w:val="383D309F"/>
    <w:multiLevelType w:val="hybridMultilevel"/>
    <w:tmpl w:val="1D3AB2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5A021C"/>
    <w:multiLevelType w:val="hybridMultilevel"/>
    <w:tmpl w:val="996C5546"/>
    <w:lvl w:ilvl="0" w:tplc="8B165B14">
      <w:start w:val="1"/>
      <w:numFmt w:val="lowerLetter"/>
      <w:lvlText w:val="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4" w:hanging="360"/>
      </w:pPr>
    </w:lvl>
    <w:lvl w:ilvl="2" w:tplc="0409001B" w:tentative="1">
      <w:start w:val="1"/>
      <w:numFmt w:val="lowerRoman"/>
      <w:lvlText w:val="%3."/>
      <w:lvlJc w:val="right"/>
      <w:pPr>
        <w:ind w:left="3724" w:hanging="180"/>
      </w:pPr>
    </w:lvl>
    <w:lvl w:ilvl="3" w:tplc="0409000F" w:tentative="1">
      <w:start w:val="1"/>
      <w:numFmt w:val="decimal"/>
      <w:lvlText w:val="%4."/>
      <w:lvlJc w:val="left"/>
      <w:pPr>
        <w:ind w:left="4444" w:hanging="360"/>
      </w:pPr>
    </w:lvl>
    <w:lvl w:ilvl="4" w:tplc="04090019" w:tentative="1">
      <w:start w:val="1"/>
      <w:numFmt w:val="lowerLetter"/>
      <w:lvlText w:val="%5."/>
      <w:lvlJc w:val="left"/>
      <w:pPr>
        <w:ind w:left="5164" w:hanging="360"/>
      </w:pPr>
    </w:lvl>
    <w:lvl w:ilvl="5" w:tplc="0409001B" w:tentative="1">
      <w:start w:val="1"/>
      <w:numFmt w:val="lowerRoman"/>
      <w:lvlText w:val="%6."/>
      <w:lvlJc w:val="right"/>
      <w:pPr>
        <w:ind w:left="5884" w:hanging="180"/>
      </w:pPr>
    </w:lvl>
    <w:lvl w:ilvl="6" w:tplc="0409000F" w:tentative="1">
      <w:start w:val="1"/>
      <w:numFmt w:val="decimal"/>
      <w:lvlText w:val="%7."/>
      <w:lvlJc w:val="left"/>
      <w:pPr>
        <w:ind w:left="6604" w:hanging="360"/>
      </w:pPr>
    </w:lvl>
    <w:lvl w:ilvl="7" w:tplc="04090019" w:tentative="1">
      <w:start w:val="1"/>
      <w:numFmt w:val="lowerLetter"/>
      <w:lvlText w:val="%8."/>
      <w:lvlJc w:val="left"/>
      <w:pPr>
        <w:ind w:left="7324" w:hanging="360"/>
      </w:pPr>
    </w:lvl>
    <w:lvl w:ilvl="8" w:tplc="040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15" w15:restartNumberingAfterBreak="0">
    <w:nsid w:val="3C471EF8"/>
    <w:multiLevelType w:val="hybridMultilevel"/>
    <w:tmpl w:val="A866D8B0"/>
    <w:lvl w:ilvl="0" w:tplc="10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3DCC6B2E"/>
    <w:multiLevelType w:val="hybridMultilevel"/>
    <w:tmpl w:val="05D05B6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F474B7F"/>
    <w:multiLevelType w:val="multilevel"/>
    <w:tmpl w:val="0AD2892A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A279E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483C5D16"/>
    <w:multiLevelType w:val="multilevel"/>
    <w:tmpl w:val="BD62CB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50006068"/>
    <w:multiLevelType w:val="multilevel"/>
    <w:tmpl w:val="FA7E3B4E"/>
    <w:lvl w:ilvl="0">
      <w:start w:val="1"/>
      <w:numFmt w:val="decimal"/>
      <w:lvlText w:val="%1."/>
      <w:lvlJc w:val="left"/>
      <w:pPr>
        <w:ind w:left="720" w:hanging="72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b/>
        <w:i w:val="0"/>
      </w:rPr>
    </w:lvl>
    <w:lvl w:ilvl="2">
      <w:start w:val="1"/>
      <w:numFmt w:val="lowerLetter"/>
      <w:lvlText w:val="%3)"/>
      <w:lvlJc w:val="left"/>
      <w:pPr>
        <w:ind w:left="2520" w:hanging="720"/>
      </w:pPr>
      <w:rPr>
        <w:b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7883B5B"/>
    <w:multiLevelType w:val="hybridMultilevel"/>
    <w:tmpl w:val="CCBCFFCE"/>
    <w:lvl w:ilvl="0" w:tplc="2FD8C01E">
      <w:start w:val="1"/>
      <w:numFmt w:val="lowerLetter"/>
      <w:lvlText w:val="%1)"/>
      <w:lvlJc w:val="left"/>
      <w:pPr>
        <w:ind w:left="2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04" w:hanging="360"/>
      </w:pPr>
    </w:lvl>
    <w:lvl w:ilvl="2" w:tplc="0409001B" w:tentative="1">
      <w:start w:val="1"/>
      <w:numFmt w:val="lowerRoman"/>
      <w:lvlText w:val="%3."/>
      <w:lvlJc w:val="right"/>
      <w:pPr>
        <w:ind w:left="3724" w:hanging="180"/>
      </w:pPr>
    </w:lvl>
    <w:lvl w:ilvl="3" w:tplc="0409000F" w:tentative="1">
      <w:start w:val="1"/>
      <w:numFmt w:val="decimal"/>
      <w:lvlText w:val="%4."/>
      <w:lvlJc w:val="left"/>
      <w:pPr>
        <w:ind w:left="4444" w:hanging="360"/>
      </w:pPr>
    </w:lvl>
    <w:lvl w:ilvl="4" w:tplc="04090019" w:tentative="1">
      <w:start w:val="1"/>
      <w:numFmt w:val="lowerLetter"/>
      <w:lvlText w:val="%5."/>
      <w:lvlJc w:val="left"/>
      <w:pPr>
        <w:ind w:left="5164" w:hanging="360"/>
      </w:pPr>
    </w:lvl>
    <w:lvl w:ilvl="5" w:tplc="0409001B" w:tentative="1">
      <w:start w:val="1"/>
      <w:numFmt w:val="lowerRoman"/>
      <w:lvlText w:val="%6."/>
      <w:lvlJc w:val="right"/>
      <w:pPr>
        <w:ind w:left="5884" w:hanging="180"/>
      </w:pPr>
    </w:lvl>
    <w:lvl w:ilvl="6" w:tplc="0409000F" w:tentative="1">
      <w:start w:val="1"/>
      <w:numFmt w:val="decimal"/>
      <w:lvlText w:val="%7."/>
      <w:lvlJc w:val="left"/>
      <w:pPr>
        <w:ind w:left="6604" w:hanging="360"/>
      </w:pPr>
    </w:lvl>
    <w:lvl w:ilvl="7" w:tplc="04090019" w:tentative="1">
      <w:start w:val="1"/>
      <w:numFmt w:val="lowerLetter"/>
      <w:lvlText w:val="%8."/>
      <w:lvlJc w:val="left"/>
      <w:pPr>
        <w:ind w:left="7324" w:hanging="360"/>
      </w:pPr>
    </w:lvl>
    <w:lvl w:ilvl="8" w:tplc="0409001B" w:tentative="1">
      <w:start w:val="1"/>
      <w:numFmt w:val="lowerRoman"/>
      <w:lvlText w:val="%9."/>
      <w:lvlJc w:val="right"/>
      <w:pPr>
        <w:ind w:left="8044" w:hanging="180"/>
      </w:pPr>
    </w:lvl>
  </w:abstractNum>
  <w:abstractNum w:abstractNumId="22" w15:restartNumberingAfterBreak="0">
    <w:nsid w:val="615C5720"/>
    <w:multiLevelType w:val="hybridMultilevel"/>
    <w:tmpl w:val="4558B6F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56B0A8F"/>
    <w:multiLevelType w:val="hybridMultilevel"/>
    <w:tmpl w:val="872AC134"/>
    <w:lvl w:ilvl="0" w:tplc="9318A7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DBA43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CF1CD0"/>
    <w:multiLevelType w:val="multilevel"/>
    <w:tmpl w:val="FB78D5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26" w15:restartNumberingAfterBreak="0">
    <w:nsid w:val="7062210D"/>
    <w:multiLevelType w:val="hybridMultilevel"/>
    <w:tmpl w:val="70BEA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EA7947"/>
    <w:multiLevelType w:val="multilevel"/>
    <w:tmpl w:val="CFF0A7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4"/>
  </w:num>
  <w:num w:numId="5">
    <w:abstractNumId w:val="18"/>
  </w:num>
  <w:num w:numId="6">
    <w:abstractNumId w:val="7"/>
  </w:num>
  <w:num w:numId="7">
    <w:abstractNumId w:val="23"/>
  </w:num>
  <w:num w:numId="8">
    <w:abstractNumId w:val="1"/>
  </w:num>
  <w:num w:numId="9">
    <w:abstractNumId w:val="8"/>
  </w:num>
  <w:num w:numId="10">
    <w:abstractNumId w:val="0"/>
  </w:num>
  <w:num w:numId="11">
    <w:abstractNumId w:val="25"/>
  </w:num>
  <w:num w:numId="12">
    <w:abstractNumId w:val="27"/>
  </w:num>
  <w:num w:numId="13">
    <w:abstractNumId w:val="19"/>
  </w:num>
  <w:num w:numId="14">
    <w:abstractNumId w:val="17"/>
  </w:num>
  <w:num w:numId="15">
    <w:abstractNumId w:val="26"/>
  </w:num>
  <w:num w:numId="16">
    <w:abstractNumId w:val="4"/>
  </w:num>
  <w:num w:numId="17">
    <w:abstractNumId w:val="2"/>
  </w:num>
  <w:num w:numId="18">
    <w:abstractNumId w:val="22"/>
  </w:num>
  <w:num w:numId="19">
    <w:abstractNumId w:val="16"/>
  </w:num>
  <w:num w:numId="20">
    <w:abstractNumId w:val="9"/>
  </w:num>
  <w:num w:numId="21">
    <w:abstractNumId w:val="15"/>
  </w:num>
  <w:num w:numId="22">
    <w:abstractNumId w:val="13"/>
  </w:num>
  <w:num w:numId="23">
    <w:abstractNumId w:val="5"/>
  </w:num>
  <w:num w:numId="24">
    <w:abstractNumId w:val="12"/>
  </w:num>
  <w:num w:numId="25">
    <w:abstractNumId w:val="20"/>
  </w:num>
  <w:num w:numId="26">
    <w:abstractNumId w:val="21"/>
  </w:num>
  <w:num w:numId="27">
    <w:abstractNumId w:val="14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919"/>
    <w:rsid w:val="00002FED"/>
    <w:rsid w:val="0000458F"/>
    <w:rsid w:val="00005301"/>
    <w:rsid w:val="0000749A"/>
    <w:rsid w:val="000129E6"/>
    <w:rsid w:val="0002491B"/>
    <w:rsid w:val="00024EB8"/>
    <w:rsid w:val="00044592"/>
    <w:rsid w:val="000574D5"/>
    <w:rsid w:val="0007165D"/>
    <w:rsid w:val="00077C9C"/>
    <w:rsid w:val="000D09BB"/>
    <w:rsid w:val="000D59BB"/>
    <w:rsid w:val="000E2A11"/>
    <w:rsid w:val="000E73DC"/>
    <w:rsid w:val="00101825"/>
    <w:rsid w:val="00105F35"/>
    <w:rsid w:val="00112A3B"/>
    <w:rsid w:val="00130AE3"/>
    <w:rsid w:val="00140809"/>
    <w:rsid w:val="001552C1"/>
    <w:rsid w:val="001576D1"/>
    <w:rsid w:val="00171745"/>
    <w:rsid w:val="00172CD7"/>
    <w:rsid w:val="001B637E"/>
    <w:rsid w:val="001C3226"/>
    <w:rsid w:val="001D04FC"/>
    <w:rsid w:val="001D1C87"/>
    <w:rsid w:val="001E727D"/>
    <w:rsid w:val="001F09F8"/>
    <w:rsid w:val="001F7B79"/>
    <w:rsid w:val="001F7C9E"/>
    <w:rsid w:val="00201E4B"/>
    <w:rsid w:val="00203D8C"/>
    <w:rsid w:val="002616F0"/>
    <w:rsid w:val="002621BB"/>
    <w:rsid w:val="00273609"/>
    <w:rsid w:val="0029167B"/>
    <w:rsid w:val="00292AF5"/>
    <w:rsid w:val="00294534"/>
    <w:rsid w:val="002A40B3"/>
    <w:rsid w:val="002B3ED9"/>
    <w:rsid w:val="002C1720"/>
    <w:rsid w:val="002D2DF5"/>
    <w:rsid w:val="002D55F3"/>
    <w:rsid w:val="002E700E"/>
    <w:rsid w:val="002F0644"/>
    <w:rsid w:val="002F5319"/>
    <w:rsid w:val="00334E06"/>
    <w:rsid w:val="00350055"/>
    <w:rsid w:val="00361AE2"/>
    <w:rsid w:val="0037160E"/>
    <w:rsid w:val="00393760"/>
    <w:rsid w:val="003C3ED1"/>
    <w:rsid w:val="003C5ECD"/>
    <w:rsid w:val="003E1EC9"/>
    <w:rsid w:val="003E565B"/>
    <w:rsid w:val="003F55A7"/>
    <w:rsid w:val="003F74DF"/>
    <w:rsid w:val="00402596"/>
    <w:rsid w:val="0042779B"/>
    <w:rsid w:val="00443ED8"/>
    <w:rsid w:val="00446C9C"/>
    <w:rsid w:val="0046034B"/>
    <w:rsid w:val="00462410"/>
    <w:rsid w:val="00465DA8"/>
    <w:rsid w:val="00480F9E"/>
    <w:rsid w:val="004871FA"/>
    <w:rsid w:val="004A4742"/>
    <w:rsid w:val="004D393D"/>
    <w:rsid w:val="004D6EA6"/>
    <w:rsid w:val="004D7D8E"/>
    <w:rsid w:val="004E2C12"/>
    <w:rsid w:val="004E3DFE"/>
    <w:rsid w:val="004F34B5"/>
    <w:rsid w:val="0050071A"/>
    <w:rsid w:val="005037BD"/>
    <w:rsid w:val="00512C56"/>
    <w:rsid w:val="0053062E"/>
    <w:rsid w:val="00535CDA"/>
    <w:rsid w:val="00547B2E"/>
    <w:rsid w:val="00547C0B"/>
    <w:rsid w:val="00552429"/>
    <w:rsid w:val="00557C9C"/>
    <w:rsid w:val="00580677"/>
    <w:rsid w:val="005875D6"/>
    <w:rsid w:val="005A2995"/>
    <w:rsid w:val="005A6D7F"/>
    <w:rsid w:val="005C0495"/>
    <w:rsid w:val="005C75AF"/>
    <w:rsid w:val="005D5F94"/>
    <w:rsid w:val="005D62ED"/>
    <w:rsid w:val="005D7EE8"/>
    <w:rsid w:val="005F602B"/>
    <w:rsid w:val="005F7A34"/>
    <w:rsid w:val="006067A2"/>
    <w:rsid w:val="00613A14"/>
    <w:rsid w:val="00620CAC"/>
    <w:rsid w:val="0063451D"/>
    <w:rsid w:val="0065108C"/>
    <w:rsid w:val="00656067"/>
    <w:rsid w:val="00656A7A"/>
    <w:rsid w:val="0066304C"/>
    <w:rsid w:val="00665128"/>
    <w:rsid w:val="0069033F"/>
    <w:rsid w:val="006A29D7"/>
    <w:rsid w:val="006C152D"/>
    <w:rsid w:val="006E0FA5"/>
    <w:rsid w:val="006E6BF3"/>
    <w:rsid w:val="00700689"/>
    <w:rsid w:val="0070173F"/>
    <w:rsid w:val="00722865"/>
    <w:rsid w:val="00725C22"/>
    <w:rsid w:val="00751B1C"/>
    <w:rsid w:val="00753305"/>
    <w:rsid w:val="00780AF4"/>
    <w:rsid w:val="00792EDF"/>
    <w:rsid w:val="00794FE8"/>
    <w:rsid w:val="007C5ABD"/>
    <w:rsid w:val="007D4EDB"/>
    <w:rsid w:val="007E3238"/>
    <w:rsid w:val="00830E8B"/>
    <w:rsid w:val="008351D8"/>
    <w:rsid w:val="00863055"/>
    <w:rsid w:val="00864143"/>
    <w:rsid w:val="00890AD3"/>
    <w:rsid w:val="008A7665"/>
    <w:rsid w:val="008C68F4"/>
    <w:rsid w:val="008C6EB1"/>
    <w:rsid w:val="008F0C2A"/>
    <w:rsid w:val="008F4DB1"/>
    <w:rsid w:val="009122CA"/>
    <w:rsid w:val="00917A62"/>
    <w:rsid w:val="00934A7E"/>
    <w:rsid w:val="0094370E"/>
    <w:rsid w:val="0095054D"/>
    <w:rsid w:val="00956F20"/>
    <w:rsid w:val="009867D6"/>
    <w:rsid w:val="0098754D"/>
    <w:rsid w:val="00991D5B"/>
    <w:rsid w:val="009A15FB"/>
    <w:rsid w:val="009A6F95"/>
    <w:rsid w:val="009B77CF"/>
    <w:rsid w:val="009C14DA"/>
    <w:rsid w:val="009D0919"/>
    <w:rsid w:val="009D7AD1"/>
    <w:rsid w:val="009E1B10"/>
    <w:rsid w:val="009E3EC6"/>
    <w:rsid w:val="009E74EC"/>
    <w:rsid w:val="00A059A5"/>
    <w:rsid w:val="00A12584"/>
    <w:rsid w:val="00A16C9F"/>
    <w:rsid w:val="00A40B5F"/>
    <w:rsid w:val="00A80E2C"/>
    <w:rsid w:val="00A8202C"/>
    <w:rsid w:val="00A86319"/>
    <w:rsid w:val="00A90899"/>
    <w:rsid w:val="00AB5F27"/>
    <w:rsid w:val="00AD40DB"/>
    <w:rsid w:val="00AE5931"/>
    <w:rsid w:val="00B0012A"/>
    <w:rsid w:val="00B019FC"/>
    <w:rsid w:val="00B01D8D"/>
    <w:rsid w:val="00B02534"/>
    <w:rsid w:val="00B3218C"/>
    <w:rsid w:val="00B350A0"/>
    <w:rsid w:val="00B3533B"/>
    <w:rsid w:val="00B3786B"/>
    <w:rsid w:val="00B55D9A"/>
    <w:rsid w:val="00B80698"/>
    <w:rsid w:val="00BA5394"/>
    <w:rsid w:val="00BA79FE"/>
    <w:rsid w:val="00BB1E54"/>
    <w:rsid w:val="00BB6BEC"/>
    <w:rsid w:val="00BC1C26"/>
    <w:rsid w:val="00BC6AAC"/>
    <w:rsid w:val="00BE4A72"/>
    <w:rsid w:val="00BF0C71"/>
    <w:rsid w:val="00C12256"/>
    <w:rsid w:val="00C17329"/>
    <w:rsid w:val="00C52272"/>
    <w:rsid w:val="00C83FEC"/>
    <w:rsid w:val="00C850FD"/>
    <w:rsid w:val="00C91BAC"/>
    <w:rsid w:val="00CA2FA4"/>
    <w:rsid w:val="00CA329D"/>
    <w:rsid w:val="00CB5F79"/>
    <w:rsid w:val="00CB60B9"/>
    <w:rsid w:val="00CD53C5"/>
    <w:rsid w:val="00CE0963"/>
    <w:rsid w:val="00CF5C26"/>
    <w:rsid w:val="00CF5E71"/>
    <w:rsid w:val="00D017E8"/>
    <w:rsid w:val="00D03EDC"/>
    <w:rsid w:val="00D36755"/>
    <w:rsid w:val="00D639D2"/>
    <w:rsid w:val="00D707B3"/>
    <w:rsid w:val="00D77587"/>
    <w:rsid w:val="00D844BD"/>
    <w:rsid w:val="00D95ECC"/>
    <w:rsid w:val="00D9663E"/>
    <w:rsid w:val="00DB1708"/>
    <w:rsid w:val="00DB6C37"/>
    <w:rsid w:val="00DD5549"/>
    <w:rsid w:val="00E10ADC"/>
    <w:rsid w:val="00E34F9B"/>
    <w:rsid w:val="00E34FCD"/>
    <w:rsid w:val="00E3742A"/>
    <w:rsid w:val="00E37832"/>
    <w:rsid w:val="00E429AF"/>
    <w:rsid w:val="00E5027C"/>
    <w:rsid w:val="00E57CA9"/>
    <w:rsid w:val="00E615D2"/>
    <w:rsid w:val="00E623DD"/>
    <w:rsid w:val="00E70080"/>
    <w:rsid w:val="00E73CB7"/>
    <w:rsid w:val="00E765A8"/>
    <w:rsid w:val="00E8130D"/>
    <w:rsid w:val="00E816E8"/>
    <w:rsid w:val="00E84369"/>
    <w:rsid w:val="00E8729F"/>
    <w:rsid w:val="00EB3A5C"/>
    <w:rsid w:val="00EC0A7C"/>
    <w:rsid w:val="00ED6D4B"/>
    <w:rsid w:val="00EF2C9D"/>
    <w:rsid w:val="00F22C1B"/>
    <w:rsid w:val="00F230FF"/>
    <w:rsid w:val="00F358D5"/>
    <w:rsid w:val="00F46C47"/>
    <w:rsid w:val="00F77638"/>
    <w:rsid w:val="00F811C8"/>
    <w:rsid w:val="00F82B58"/>
    <w:rsid w:val="00F833CD"/>
    <w:rsid w:val="00F83F89"/>
    <w:rsid w:val="00F97856"/>
    <w:rsid w:val="00FA6ED1"/>
    <w:rsid w:val="00FA7816"/>
    <w:rsid w:val="00FB622B"/>
    <w:rsid w:val="00FC1C15"/>
    <w:rsid w:val="00FC6955"/>
    <w:rsid w:val="00FC7EE8"/>
    <w:rsid w:val="00FD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B2930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D53C5"/>
    <w:pPr>
      <w:spacing w:after="120" w:line="240" w:lineRule="auto"/>
    </w:pPr>
    <w:rPr>
      <w:rFonts w:eastAsiaTheme="minorEastAsia"/>
      <w:sz w:val="20"/>
    </w:rPr>
  </w:style>
  <w:style w:type="paragraph" w:styleId="Heading1">
    <w:name w:val="heading 1"/>
    <w:basedOn w:val="Normal"/>
    <w:next w:val="Normal"/>
    <w:link w:val="Heading1Char"/>
    <w:autoRedefine/>
    <w:qFormat/>
    <w:rsid w:val="004D393D"/>
    <w:pPr>
      <w:keepNext/>
      <w:keepLines/>
      <w:spacing w:before="120"/>
      <w:outlineLvl w:val="0"/>
    </w:pPr>
    <w:rPr>
      <w:rFonts w:eastAsiaTheme="majorEastAsia" w:cstheme="majorBidi"/>
      <w:b/>
      <w:bCs/>
      <w:sz w:val="24"/>
      <w:szCs w:val="28"/>
      <w:lang w:val="en-C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B5F79"/>
    <w:pPr>
      <w:keepNext/>
      <w:keepLines/>
      <w:spacing w:before="200"/>
      <w:outlineLvl w:val="1"/>
    </w:pPr>
    <w:rPr>
      <w:rFonts w:eastAsiaTheme="majorEastAsia" w:cstheme="minorHAnsi"/>
      <w:b/>
      <w:bCs/>
      <w:szCs w:val="20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CD53C5"/>
    <w:pPr>
      <w:keepNext/>
      <w:keepLines/>
      <w:tabs>
        <w:tab w:val="left" w:pos="0"/>
      </w:tabs>
      <w:spacing w:before="120"/>
      <w:ind w:left="342" w:right="90"/>
      <w:outlineLvl w:val="2"/>
    </w:pPr>
    <w:rPr>
      <w:rFonts w:eastAsiaTheme="majorEastAsia" w:cstheme="majorBidi"/>
      <w:b/>
      <w:bCs/>
      <w:color w:val="000000" w:themeColor="text1"/>
      <w:sz w:val="24"/>
      <w:lang w:eastAsia="en-CA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9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D0919"/>
    <w:rPr>
      <w:b/>
      <w:bCs/>
    </w:rPr>
  </w:style>
  <w:style w:type="paragraph" w:styleId="BodyText">
    <w:name w:val="Body Text"/>
    <w:basedOn w:val="Normal"/>
    <w:link w:val="BodyTextChar"/>
    <w:rsid w:val="009D0919"/>
    <w:rPr>
      <w:color w:val="000000"/>
      <w:szCs w:val="19"/>
    </w:rPr>
  </w:style>
  <w:style w:type="character" w:customStyle="1" w:styleId="BodyTextChar">
    <w:name w:val="Body Text Char"/>
    <w:basedOn w:val="DefaultParagraphFont"/>
    <w:link w:val="BodyText"/>
    <w:rsid w:val="009D0919"/>
    <w:rPr>
      <w:rFonts w:ascii="Times New Roman" w:eastAsia="Times New Roman" w:hAnsi="Times New Roman" w:cs="Times New Roman"/>
      <w:color w:val="000000"/>
      <w:sz w:val="24"/>
      <w:szCs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19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D393D"/>
    <w:rPr>
      <w:rFonts w:eastAsiaTheme="majorEastAsia" w:cstheme="majorBidi"/>
      <w:b/>
      <w:bCs/>
      <w:sz w:val="24"/>
      <w:szCs w:val="28"/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9D091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09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CB5F79"/>
    <w:rPr>
      <w:rFonts w:eastAsiaTheme="majorEastAsia" w:cstheme="minorHAnsi"/>
      <w:b/>
      <w:bCs/>
      <w:sz w:val="20"/>
      <w:szCs w:val="20"/>
    </w:rPr>
  </w:style>
  <w:style w:type="paragraph" w:customStyle="1" w:styleId="Default">
    <w:name w:val="Default"/>
    <w:rsid w:val="00261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D53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F2C9D"/>
    <w:pPr>
      <w:spacing w:before="100" w:beforeAutospacing="1" w:after="100" w:afterAutospacing="1"/>
    </w:pPr>
  </w:style>
  <w:style w:type="character" w:customStyle="1" w:styleId="Heading3Char">
    <w:name w:val="Heading 3 Char"/>
    <w:basedOn w:val="DefaultParagraphFont"/>
    <w:link w:val="Heading3"/>
    <w:uiPriority w:val="9"/>
    <w:rsid w:val="00CD53C5"/>
    <w:rPr>
      <w:rFonts w:eastAsiaTheme="majorEastAsia" w:cstheme="majorBidi"/>
      <w:b/>
      <w:bCs/>
      <w:color w:val="000000" w:themeColor="text1"/>
      <w:sz w:val="24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96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6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3062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3062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06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062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33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33C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33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3C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58D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019FC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CD53C5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D53C5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53C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53C5"/>
    <w:rPr>
      <w:vertAlign w:val="superscript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CD53C5"/>
    <w:pPr>
      <w:numPr>
        <w:ilvl w:val="1"/>
      </w:numPr>
      <w:spacing w:before="240"/>
    </w:pPr>
    <w:rPr>
      <w:rFonts w:eastAsiaTheme="majorEastAsia" w:cstheme="majorBidi"/>
      <w:b/>
      <w:iCs/>
      <w:sz w:val="2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D53C5"/>
    <w:rPr>
      <w:rFonts w:eastAsiaTheme="majorEastAsia" w:cstheme="majorBidi"/>
      <w:b/>
      <w:iCs/>
      <w:szCs w:val="24"/>
    </w:rPr>
  </w:style>
  <w:style w:type="table" w:customStyle="1" w:styleId="TableGrid2">
    <w:name w:val="Table Grid2"/>
    <w:basedOn w:val="TableNormal"/>
    <w:next w:val="TableGrid"/>
    <w:uiPriority w:val="59"/>
    <w:rsid w:val="00CB5F79"/>
    <w:pPr>
      <w:spacing w:after="0" w:line="240" w:lineRule="auto"/>
    </w:pPr>
    <w:rPr>
      <w:rFonts w:eastAsia="Times New Roman"/>
      <w:lang w:val="en-C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vision">
    <w:name w:val="Revision"/>
    <w:hidden/>
    <w:uiPriority w:val="99"/>
    <w:semiHidden/>
    <w:rsid w:val="00F97856"/>
    <w:pPr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700689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292AF5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92AF5"/>
    <w:rPr>
      <w:rFonts w:eastAsiaTheme="minorEastAsi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292AF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92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81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67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1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625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40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07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605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749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22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62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433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785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045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809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64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56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3396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71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0636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35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4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urchasing@dc-uoit.ca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microsoft.com/office/2011/relationships/commentsExtended" Target="commentsExtended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A41B8-56E6-46A6-B829-1A14EAC41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2021-04-24T18:58:00Z</dcterms:created>
  <dcterms:modified xsi:type="dcterms:W3CDTF">2021-05-19T17:30:00Z</dcterms:modified>
</cp:coreProperties>
</file>