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C2C54" w14:textId="71F9CEE1" w:rsidR="00EF614F" w:rsidRPr="0009215B" w:rsidRDefault="00EF614F" w:rsidP="00E828E4">
      <w:pPr>
        <w:spacing w:before="120" w:after="120" w:line="240" w:lineRule="auto"/>
        <w:ind w:left="180"/>
        <w:rPr>
          <w:rFonts w:ascii="Arial Rounded MT Bold" w:hAnsi="Arial Rounded MT Bold"/>
          <w:color w:val="1F4E79" w:themeColor="accent1" w:themeShade="80"/>
          <w:lang w:val="en-US"/>
        </w:rPr>
      </w:pPr>
      <w:bookmarkStart w:id="0" w:name="_GoBack"/>
      <w:bookmarkEnd w:id="0"/>
      <w:r w:rsidRPr="0009215B">
        <w:rPr>
          <w:rFonts w:ascii="Arial Rounded MT Bold" w:hAnsi="Arial Rounded MT Bold"/>
          <w:color w:val="1F4E79" w:themeColor="accent1" w:themeShade="80"/>
          <w:lang w:val="en-US"/>
        </w:rPr>
        <w:t xml:space="preserve">The following has been prepared to </w:t>
      </w:r>
      <w:r w:rsidR="00E828E4" w:rsidRPr="0009215B">
        <w:rPr>
          <w:rFonts w:ascii="Arial Rounded MT Bold" w:hAnsi="Arial Rounded MT Bold"/>
          <w:color w:val="1F4E79" w:themeColor="accent1" w:themeShade="80"/>
          <w:lang w:val="en-US"/>
        </w:rPr>
        <w:t xml:space="preserve">provide </w:t>
      </w:r>
      <w:r w:rsidRPr="0009215B">
        <w:rPr>
          <w:rFonts w:ascii="Arial Rounded MT Bold" w:hAnsi="Arial Rounded MT Bold"/>
          <w:color w:val="1F4E79" w:themeColor="accent1" w:themeShade="80"/>
          <w:lang w:val="en-US"/>
        </w:rPr>
        <w:t>a high-level overview of some of the key characteristics, from a Research Finance perspective, of some of the major typ</w:t>
      </w:r>
      <w:r w:rsidR="00E828E4" w:rsidRPr="0009215B">
        <w:rPr>
          <w:rFonts w:ascii="Arial Rounded MT Bold" w:hAnsi="Arial Rounded MT Bold"/>
          <w:color w:val="1F4E79" w:themeColor="accent1" w:themeShade="80"/>
          <w:lang w:val="en-US"/>
        </w:rPr>
        <w:t>es of research grants</w:t>
      </w:r>
      <w:r w:rsidRPr="0009215B">
        <w:rPr>
          <w:rFonts w:ascii="Arial Rounded MT Bold" w:hAnsi="Arial Rounded MT Bold"/>
          <w:color w:val="1F4E79" w:themeColor="accent1" w:themeShade="80"/>
          <w:lang w:val="en-US"/>
        </w:rPr>
        <w:t>.</w:t>
      </w:r>
      <w:r w:rsidR="00E828E4" w:rsidRPr="0009215B">
        <w:rPr>
          <w:rFonts w:ascii="Arial Rounded MT Bold" w:hAnsi="Arial Rounded MT Bold"/>
          <w:color w:val="1F4E79" w:themeColor="accent1" w:themeShade="80"/>
          <w:lang w:val="en-US"/>
        </w:rPr>
        <w:t xml:space="preserve">  </w:t>
      </w:r>
      <w:r w:rsidRPr="0009215B">
        <w:rPr>
          <w:rFonts w:ascii="Arial Rounded MT Bold" w:hAnsi="Arial Rounded MT Bold"/>
          <w:color w:val="1F4E79" w:themeColor="accent1" w:themeShade="80"/>
          <w:lang w:val="en-US"/>
        </w:rPr>
        <w:t xml:space="preserve">This list is not exhaustive.  </w:t>
      </w:r>
      <w:r w:rsidR="00B3013B" w:rsidRPr="0009215B">
        <w:rPr>
          <w:rFonts w:ascii="Arial Rounded MT Bold" w:hAnsi="Arial Rounded MT Bold"/>
          <w:color w:val="1F4E79" w:themeColor="accent1" w:themeShade="80"/>
          <w:lang w:val="en-US"/>
        </w:rPr>
        <w:t xml:space="preserve">For specific use of grant funds, review the </w:t>
      </w:r>
      <w:hyperlink r:id="rId8" w:history="1">
        <w:r w:rsidR="00B3013B" w:rsidRPr="0009215B">
          <w:rPr>
            <w:rStyle w:val="Hyperlink"/>
            <w:rFonts w:ascii="Arial Rounded MT Bold" w:hAnsi="Arial Rounded MT Bold"/>
            <w:lang w:val="en-US"/>
          </w:rPr>
          <w:t>Tri-Council guidelines</w:t>
        </w:r>
      </w:hyperlink>
      <w:r w:rsidR="00B3013B" w:rsidRPr="0009215B">
        <w:rPr>
          <w:rFonts w:ascii="Arial Rounded MT Bold" w:hAnsi="Arial Rounded MT Bold"/>
          <w:color w:val="1F4E79" w:themeColor="accent1" w:themeShade="80"/>
          <w:lang w:val="en-US"/>
        </w:rPr>
        <w:t xml:space="preserve">. </w:t>
      </w:r>
      <w:r w:rsidRPr="0009215B">
        <w:rPr>
          <w:rFonts w:ascii="Arial Rounded MT Bold" w:hAnsi="Arial Rounded MT Bold"/>
          <w:color w:val="1F4E79" w:themeColor="accent1" w:themeShade="80"/>
          <w:lang w:val="en-US"/>
        </w:rPr>
        <w:t xml:space="preserve">For more information consult the research analyst </w:t>
      </w:r>
      <w:r w:rsidR="0060212D" w:rsidRPr="0009215B">
        <w:rPr>
          <w:rFonts w:ascii="Arial Rounded MT Bold" w:hAnsi="Arial Rounded MT Bold"/>
          <w:color w:val="1F4E79" w:themeColor="accent1" w:themeShade="80"/>
          <w:lang w:val="en-US"/>
        </w:rPr>
        <w:t>serving</w:t>
      </w:r>
      <w:r w:rsidRPr="0009215B">
        <w:rPr>
          <w:rFonts w:ascii="Arial Rounded MT Bold" w:hAnsi="Arial Rounded MT Bold"/>
          <w:color w:val="1F4E79" w:themeColor="accent1" w:themeShade="80"/>
          <w:lang w:val="en-US"/>
        </w:rPr>
        <w:t xml:space="preserve"> your </w:t>
      </w:r>
      <w:hyperlink r:id="rId9" w:history="1">
        <w:r w:rsidRPr="0009215B">
          <w:rPr>
            <w:rStyle w:val="Hyperlink"/>
            <w:rFonts w:ascii="Arial Rounded MT Bold" w:hAnsi="Arial Rounded MT Bold"/>
            <w:lang w:val="en-US"/>
          </w:rPr>
          <w:t>Faculty</w:t>
        </w:r>
      </w:hyperlink>
      <w:r w:rsidRPr="0009215B">
        <w:rPr>
          <w:rFonts w:ascii="Arial Rounded MT Bold" w:hAnsi="Arial Rounded MT Bold"/>
          <w:color w:val="1F4E79" w:themeColor="accent1" w:themeShade="80"/>
          <w:lang w:val="en-US"/>
        </w:rPr>
        <w:t xml:space="preserve">. </w:t>
      </w:r>
    </w:p>
    <w:p w14:paraId="614C5DE7" w14:textId="77657BD3" w:rsidR="00C17B14" w:rsidRPr="0009215B" w:rsidRDefault="00D047E6" w:rsidP="00816191">
      <w:pPr>
        <w:spacing w:before="120" w:after="120" w:line="240" w:lineRule="auto"/>
        <w:rPr>
          <w:rFonts w:ascii="Arial Rounded MT Bold" w:hAnsi="Arial Rounded MT Bold"/>
          <w:color w:val="1F4E79" w:themeColor="accent1" w:themeShade="80"/>
          <w:lang w:val="en-US"/>
        </w:rPr>
      </w:pPr>
      <w:hyperlink r:id="rId10" w:history="1">
        <w:r w:rsidR="00C17B14" w:rsidRPr="0009215B">
          <w:rPr>
            <w:rStyle w:val="Hyperlink"/>
            <w:rFonts w:ascii="Arial Rounded MT Bold" w:hAnsi="Arial Rounded MT Bold"/>
            <w:lang w:val="en-US"/>
          </w:rPr>
          <w:t>N</w:t>
        </w:r>
        <w:r w:rsidR="00903D66" w:rsidRPr="0009215B">
          <w:rPr>
            <w:rStyle w:val="Hyperlink"/>
            <w:rFonts w:ascii="Arial Rounded MT Bold" w:hAnsi="Arial Rounded MT Bold"/>
            <w:lang w:val="en-US"/>
          </w:rPr>
          <w:t xml:space="preserve">atural </w:t>
        </w:r>
        <w:r w:rsidR="00C17B14" w:rsidRPr="0009215B">
          <w:rPr>
            <w:rStyle w:val="Hyperlink"/>
            <w:rFonts w:ascii="Arial Rounded MT Bold" w:hAnsi="Arial Rounded MT Bold"/>
            <w:lang w:val="en-US"/>
          </w:rPr>
          <w:t>S</w:t>
        </w:r>
        <w:r w:rsidR="00903D66" w:rsidRPr="0009215B">
          <w:rPr>
            <w:rStyle w:val="Hyperlink"/>
            <w:rFonts w:ascii="Arial Rounded MT Bold" w:hAnsi="Arial Rounded MT Bold"/>
            <w:lang w:val="en-US"/>
          </w:rPr>
          <w:t>ciences and Engineering Research Council of Canada (NS</w:t>
        </w:r>
        <w:r w:rsidR="00C17B14" w:rsidRPr="0009215B">
          <w:rPr>
            <w:rStyle w:val="Hyperlink"/>
            <w:rFonts w:ascii="Arial Rounded MT Bold" w:hAnsi="Arial Rounded MT Bold"/>
            <w:lang w:val="en-US"/>
          </w:rPr>
          <w:t>ERC</w:t>
        </w:r>
        <w:r w:rsidR="00903D66" w:rsidRPr="0009215B">
          <w:rPr>
            <w:rStyle w:val="Hyperlink"/>
            <w:rFonts w:ascii="Arial Rounded MT Bold" w:hAnsi="Arial Rounded MT Bold"/>
            <w:lang w:val="en-US"/>
          </w:rPr>
          <w:t>)</w:t>
        </w:r>
        <w:r w:rsidR="00C17B14" w:rsidRPr="0009215B">
          <w:rPr>
            <w:rStyle w:val="Hyperlink"/>
            <w:rFonts w:ascii="Arial Rounded MT Bold" w:hAnsi="Arial Rounded MT Bold"/>
            <w:lang w:val="en-US"/>
          </w:rPr>
          <w:t xml:space="preserve"> Engage</w:t>
        </w:r>
      </w:hyperlink>
      <w:r w:rsidR="00C17B14" w:rsidRPr="0009215B">
        <w:rPr>
          <w:rFonts w:ascii="Arial Rounded MT Bold" w:hAnsi="Arial Rounded MT Bold"/>
          <w:color w:val="1F4E79" w:themeColor="accent1" w:themeShade="80"/>
          <w:lang w:val="en-US"/>
        </w:rPr>
        <w:t xml:space="preserve"> </w:t>
      </w:r>
    </w:p>
    <w:tbl>
      <w:tblPr>
        <w:tblStyle w:val="TableGrid"/>
        <w:tblW w:w="0" w:type="auto"/>
        <w:tblLook w:val="04A0" w:firstRow="1" w:lastRow="0" w:firstColumn="1" w:lastColumn="0" w:noHBand="0" w:noVBand="1"/>
      </w:tblPr>
      <w:tblGrid>
        <w:gridCol w:w="2065"/>
        <w:gridCol w:w="12325"/>
      </w:tblGrid>
      <w:tr w:rsidR="00236EE0" w:rsidRPr="0009215B" w14:paraId="3A0D0202" w14:textId="77777777" w:rsidTr="00E828E4">
        <w:tc>
          <w:tcPr>
            <w:tcW w:w="2065" w:type="dxa"/>
            <w:shd w:val="clear" w:color="auto" w:fill="2F5496" w:themeFill="accent5" w:themeFillShade="BF"/>
          </w:tcPr>
          <w:p w14:paraId="49BB5E5A" w14:textId="77777777" w:rsidR="00236EE0" w:rsidRPr="0009215B" w:rsidRDefault="00236EE0" w:rsidP="0075307F">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Typical Grant Amount and Duration</w:t>
            </w:r>
          </w:p>
        </w:tc>
        <w:tc>
          <w:tcPr>
            <w:tcW w:w="12325" w:type="dxa"/>
            <w:shd w:val="clear" w:color="auto" w:fill="2F5496" w:themeFill="accent5" w:themeFillShade="BF"/>
          </w:tcPr>
          <w:p w14:paraId="341F9111" w14:textId="6767B8DF" w:rsidR="00236EE0" w:rsidRPr="0009215B" w:rsidRDefault="00615385" w:rsidP="00615385">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 xml:space="preserve">Financial </w:t>
            </w:r>
            <w:r w:rsidR="00236EE0" w:rsidRPr="0009215B">
              <w:rPr>
                <w:rFonts w:ascii="Arial Rounded MT Bold" w:hAnsi="Arial Rounded MT Bold" w:cs="Arial"/>
                <w:color w:val="FFFFFF" w:themeColor="background1"/>
                <w:lang w:val="en-US"/>
              </w:rPr>
              <w:t>Characteristics</w:t>
            </w:r>
          </w:p>
        </w:tc>
      </w:tr>
      <w:tr w:rsidR="00236EE0" w:rsidRPr="0009215B" w14:paraId="7F7D978F" w14:textId="77777777" w:rsidTr="00E828E4">
        <w:tc>
          <w:tcPr>
            <w:tcW w:w="2065" w:type="dxa"/>
          </w:tcPr>
          <w:p w14:paraId="2012CF7C" w14:textId="77777777" w:rsidR="00236EE0" w:rsidRPr="0009215B" w:rsidRDefault="00236EE0" w:rsidP="00C17B14">
            <w:pPr>
              <w:pStyle w:val="ListParagraph"/>
              <w:numPr>
                <w:ilvl w:val="0"/>
                <w:numId w:val="1"/>
              </w:numPr>
              <w:rPr>
                <w:rFonts w:cs="Arial"/>
                <w:lang w:val="en-US"/>
              </w:rPr>
            </w:pPr>
            <w:r w:rsidRPr="0009215B">
              <w:rPr>
                <w:rFonts w:cs="Arial"/>
                <w:lang w:val="en-US"/>
              </w:rPr>
              <w:t>Up to $25,000</w:t>
            </w:r>
          </w:p>
          <w:p w14:paraId="0CAE89D6" w14:textId="77777777" w:rsidR="00236EE0" w:rsidRPr="0009215B" w:rsidRDefault="00236EE0" w:rsidP="00C17B14">
            <w:pPr>
              <w:pStyle w:val="ListParagraph"/>
              <w:numPr>
                <w:ilvl w:val="0"/>
                <w:numId w:val="1"/>
              </w:numPr>
              <w:rPr>
                <w:rFonts w:cs="Arial"/>
                <w:lang w:val="en-US"/>
              </w:rPr>
            </w:pPr>
            <w:r w:rsidRPr="0009215B">
              <w:rPr>
                <w:rFonts w:cs="Arial"/>
                <w:lang w:val="en-US"/>
              </w:rPr>
              <w:t>Up to 6 months</w:t>
            </w:r>
          </w:p>
        </w:tc>
        <w:tc>
          <w:tcPr>
            <w:tcW w:w="12325" w:type="dxa"/>
          </w:tcPr>
          <w:p w14:paraId="4E02115A" w14:textId="3DCF2A04" w:rsidR="00C001AF" w:rsidRPr="0009215B" w:rsidRDefault="00C001AF" w:rsidP="00C17B14">
            <w:pPr>
              <w:pStyle w:val="ListParagraph"/>
              <w:numPr>
                <w:ilvl w:val="0"/>
                <w:numId w:val="1"/>
              </w:numPr>
              <w:rPr>
                <w:rFonts w:cs="Arial"/>
                <w:lang w:val="en-US"/>
              </w:rPr>
            </w:pPr>
            <w:r w:rsidRPr="0009215B">
              <w:rPr>
                <w:rFonts w:cs="Arial"/>
                <w:lang w:val="en-US"/>
              </w:rPr>
              <w:t>Engage grants are intended to foster the development of new research partnerships by supporting short-term research and development projects aimed at addressing a company-specific problem</w:t>
            </w:r>
            <w:r w:rsidR="0086493C" w:rsidRPr="0009215B">
              <w:rPr>
                <w:rFonts w:cs="Arial"/>
                <w:lang w:val="en-US"/>
              </w:rPr>
              <w:t>.</w:t>
            </w:r>
          </w:p>
          <w:p w14:paraId="6AE98F0A" w14:textId="27057F10" w:rsidR="00C001AF" w:rsidRPr="0009215B" w:rsidRDefault="00C001AF" w:rsidP="00C001AF">
            <w:pPr>
              <w:pStyle w:val="ListParagraph"/>
              <w:numPr>
                <w:ilvl w:val="0"/>
                <w:numId w:val="1"/>
              </w:numPr>
              <w:rPr>
                <w:rFonts w:cs="Arial"/>
                <w:lang w:val="en-US"/>
              </w:rPr>
            </w:pPr>
            <w:r w:rsidRPr="0009215B">
              <w:rPr>
                <w:rFonts w:cs="Arial"/>
                <w:lang w:val="en-US"/>
              </w:rPr>
              <w:t>Requires industry partner</w:t>
            </w:r>
            <w:r w:rsidR="00C05934" w:rsidRPr="0009215B">
              <w:rPr>
                <w:rFonts w:cs="Arial"/>
                <w:lang w:val="en-US"/>
              </w:rPr>
              <w:t xml:space="preserve"> wh</w:t>
            </w:r>
            <w:r w:rsidR="00E828E4" w:rsidRPr="0009215B">
              <w:rPr>
                <w:rFonts w:cs="Arial"/>
                <w:lang w:val="en-US"/>
              </w:rPr>
              <w:t>o</w:t>
            </w:r>
            <w:r w:rsidR="00C05934" w:rsidRPr="0009215B">
              <w:rPr>
                <w:rFonts w:cs="Arial"/>
                <w:lang w:val="en-US"/>
              </w:rPr>
              <w:t xml:space="preserve"> </w:t>
            </w:r>
            <w:r w:rsidRPr="0009215B">
              <w:rPr>
                <w:rFonts w:cs="Arial"/>
                <w:lang w:val="en-US"/>
              </w:rPr>
              <w:t>must</w:t>
            </w:r>
            <w:r w:rsidR="003532A4" w:rsidRPr="0009215B">
              <w:rPr>
                <w:rFonts w:cs="Arial"/>
                <w:lang w:val="en-US"/>
              </w:rPr>
              <w:t xml:space="preserve"> (a)</w:t>
            </w:r>
            <w:r w:rsidRPr="0009215B">
              <w:rPr>
                <w:rFonts w:cs="Arial"/>
                <w:lang w:val="en-US"/>
              </w:rPr>
              <w:t xml:space="preserve"> provide a contribution</w:t>
            </w:r>
            <w:r w:rsidR="003532A4" w:rsidRPr="0009215B">
              <w:rPr>
                <w:rFonts w:cs="Arial"/>
                <w:lang w:val="en-US"/>
              </w:rPr>
              <w:t xml:space="preserve"> which </w:t>
            </w:r>
            <w:r w:rsidRPr="0009215B">
              <w:rPr>
                <w:rFonts w:cs="Arial"/>
                <w:lang w:val="en-US"/>
              </w:rPr>
              <w:t>may be cash or other support</w:t>
            </w:r>
            <w:r w:rsidR="003532A4" w:rsidRPr="0009215B">
              <w:rPr>
                <w:rFonts w:cs="Arial"/>
                <w:lang w:val="en-US"/>
              </w:rPr>
              <w:t xml:space="preserve"> such as in-kind,</w:t>
            </w:r>
            <w:r w:rsidRPr="0009215B">
              <w:rPr>
                <w:rFonts w:cs="Arial"/>
                <w:lang w:val="en-US"/>
              </w:rPr>
              <w:t xml:space="preserve"> and</w:t>
            </w:r>
            <w:r w:rsidR="003532A4" w:rsidRPr="0009215B">
              <w:rPr>
                <w:rFonts w:cs="Arial"/>
                <w:lang w:val="en-US"/>
              </w:rPr>
              <w:t xml:space="preserve"> (b</w:t>
            </w:r>
            <w:r w:rsidR="004A0319" w:rsidRPr="0009215B">
              <w:rPr>
                <w:rFonts w:cs="Arial"/>
                <w:lang w:val="en-US"/>
              </w:rPr>
              <w:t xml:space="preserve">) </w:t>
            </w:r>
            <w:r w:rsidR="00E828E4" w:rsidRPr="0009215B">
              <w:rPr>
                <w:rFonts w:cs="Arial"/>
                <w:lang w:val="en-US"/>
              </w:rPr>
              <w:t>have been</w:t>
            </w:r>
            <w:r w:rsidRPr="0009215B">
              <w:rPr>
                <w:rFonts w:cs="Arial"/>
                <w:lang w:val="en-US"/>
              </w:rPr>
              <w:t xml:space="preserve"> in operation for at least 2 years</w:t>
            </w:r>
            <w:r w:rsidR="004D5BF5" w:rsidRPr="0009215B">
              <w:rPr>
                <w:rFonts w:cs="Arial"/>
                <w:lang w:val="en-US"/>
              </w:rPr>
              <w:t>.</w:t>
            </w:r>
            <w:r w:rsidRPr="0009215B">
              <w:rPr>
                <w:rFonts w:cs="Arial"/>
                <w:lang w:val="en-US"/>
              </w:rPr>
              <w:t xml:space="preserve"> </w:t>
            </w:r>
          </w:p>
          <w:p w14:paraId="29887834" w14:textId="47D197CA" w:rsidR="00236EE0" w:rsidRPr="0009215B" w:rsidRDefault="00E828E4" w:rsidP="00C17B14">
            <w:pPr>
              <w:pStyle w:val="ListParagraph"/>
              <w:numPr>
                <w:ilvl w:val="0"/>
                <w:numId w:val="1"/>
              </w:numPr>
              <w:rPr>
                <w:rFonts w:cs="Arial"/>
                <w:lang w:val="en-US"/>
              </w:rPr>
            </w:pPr>
            <w:r w:rsidRPr="0009215B">
              <w:rPr>
                <w:rFonts w:cs="Arial"/>
                <w:lang w:val="en-US"/>
              </w:rPr>
              <w:t>R</w:t>
            </w:r>
            <w:r w:rsidR="00236EE0" w:rsidRPr="0009215B">
              <w:rPr>
                <w:rFonts w:cs="Arial"/>
                <w:lang w:val="en-US"/>
              </w:rPr>
              <w:t>esearchers are limited to 1</w:t>
            </w:r>
            <w:r w:rsidR="00EF614F" w:rsidRPr="0009215B">
              <w:rPr>
                <w:rFonts w:cs="Arial"/>
                <w:lang w:val="en-US"/>
              </w:rPr>
              <w:t xml:space="preserve"> </w:t>
            </w:r>
            <w:r w:rsidR="00236EE0" w:rsidRPr="0009215B">
              <w:rPr>
                <w:rFonts w:cs="Arial"/>
                <w:lang w:val="en-US"/>
              </w:rPr>
              <w:t>Engage grant per fiscal year</w:t>
            </w:r>
            <w:r w:rsidR="00EF614F" w:rsidRPr="0009215B">
              <w:rPr>
                <w:rFonts w:cs="Arial"/>
                <w:lang w:val="en-US"/>
              </w:rPr>
              <w:t xml:space="preserve"> – i.e. cannot simultaneously hold multiple Engage grants. </w:t>
            </w:r>
          </w:p>
          <w:p w14:paraId="73782BF1" w14:textId="303CD9C5" w:rsidR="00236EE0" w:rsidRPr="0009215B" w:rsidRDefault="00154EFA" w:rsidP="00C17B14">
            <w:pPr>
              <w:pStyle w:val="ListParagraph"/>
              <w:numPr>
                <w:ilvl w:val="0"/>
                <w:numId w:val="1"/>
              </w:numPr>
              <w:rPr>
                <w:rFonts w:cs="Arial"/>
                <w:lang w:val="en-US"/>
              </w:rPr>
            </w:pPr>
            <w:r w:rsidRPr="0009215B">
              <w:rPr>
                <w:rFonts w:cs="Arial"/>
                <w:lang w:val="en-US"/>
              </w:rPr>
              <w:t>May request an extension</w:t>
            </w:r>
            <w:r w:rsidR="00236EE0" w:rsidRPr="0009215B">
              <w:rPr>
                <w:rFonts w:cs="Arial"/>
                <w:lang w:val="en-US"/>
              </w:rPr>
              <w:t xml:space="preserve"> </w:t>
            </w:r>
            <w:r w:rsidR="00EF614F" w:rsidRPr="0009215B">
              <w:rPr>
                <w:rFonts w:cs="Arial"/>
                <w:lang w:val="en-US"/>
              </w:rPr>
              <w:t xml:space="preserve">– for </w:t>
            </w:r>
            <w:r w:rsidR="00236EE0" w:rsidRPr="0009215B">
              <w:rPr>
                <w:rFonts w:cs="Arial"/>
                <w:lang w:val="en-US"/>
              </w:rPr>
              <w:t>a maximum of 60 days</w:t>
            </w:r>
            <w:r w:rsidR="007E2C71" w:rsidRPr="0009215B">
              <w:rPr>
                <w:rFonts w:cs="Arial"/>
                <w:lang w:val="en-US"/>
              </w:rPr>
              <w:t>.</w:t>
            </w:r>
          </w:p>
          <w:p w14:paraId="643AC093" w14:textId="7284D125" w:rsidR="00236EE0" w:rsidRPr="0009215B" w:rsidRDefault="00EF614F" w:rsidP="00C17B14">
            <w:pPr>
              <w:pStyle w:val="ListParagraph"/>
              <w:numPr>
                <w:ilvl w:val="0"/>
                <w:numId w:val="1"/>
              </w:numPr>
              <w:rPr>
                <w:rFonts w:cs="Arial"/>
                <w:lang w:val="en-US"/>
              </w:rPr>
            </w:pPr>
            <w:r w:rsidRPr="0009215B">
              <w:rPr>
                <w:rFonts w:cs="Arial"/>
                <w:lang w:val="en-US"/>
              </w:rPr>
              <w:t xml:space="preserve">Detailed allocation of expenditures – as set out in the proposed budget.  </w:t>
            </w:r>
            <w:r w:rsidR="00236EE0" w:rsidRPr="0009215B">
              <w:rPr>
                <w:rFonts w:cs="Arial"/>
                <w:lang w:val="en-US"/>
              </w:rPr>
              <w:t>20% variation</w:t>
            </w:r>
            <w:r w:rsidRPr="0009215B">
              <w:rPr>
                <w:rFonts w:cs="Arial"/>
                <w:lang w:val="en-US"/>
              </w:rPr>
              <w:t xml:space="preserve"> from budgeted type of expenditure without explicit permission</w:t>
            </w:r>
            <w:r w:rsidR="009D2935" w:rsidRPr="0009215B">
              <w:rPr>
                <w:rFonts w:cs="Arial"/>
                <w:lang w:val="en-US"/>
              </w:rPr>
              <w:t xml:space="preserve"> is allowed</w:t>
            </w:r>
            <w:r w:rsidRPr="0009215B">
              <w:rPr>
                <w:rFonts w:cs="Arial"/>
                <w:lang w:val="en-US"/>
              </w:rPr>
              <w:t xml:space="preserve">. More significant changes require </w:t>
            </w:r>
            <w:r w:rsidR="004A0319" w:rsidRPr="0009215B">
              <w:rPr>
                <w:rFonts w:cs="Arial"/>
                <w:lang w:val="en-US"/>
              </w:rPr>
              <w:t xml:space="preserve">explicit </w:t>
            </w:r>
            <w:r w:rsidR="00236EE0" w:rsidRPr="0009215B">
              <w:rPr>
                <w:rFonts w:cs="Arial"/>
                <w:lang w:val="en-US"/>
              </w:rPr>
              <w:t>permission</w:t>
            </w:r>
            <w:r w:rsidRPr="0009215B">
              <w:rPr>
                <w:rFonts w:cs="Arial"/>
                <w:lang w:val="en-US"/>
              </w:rPr>
              <w:t xml:space="preserve">. </w:t>
            </w:r>
          </w:p>
          <w:p w14:paraId="3CFAA357" w14:textId="4AD4213B" w:rsidR="00236EE0" w:rsidRPr="0009215B" w:rsidRDefault="005A06FD" w:rsidP="00C17B14">
            <w:pPr>
              <w:pStyle w:val="ListParagraph"/>
              <w:numPr>
                <w:ilvl w:val="0"/>
                <w:numId w:val="1"/>
              </w:numPr>
              <w:rPr>
                <w:rFonts w:cs="Arial"/>
                <w:lang w:val="en-US"/>
              </w:rPr>
            </w:pPr>
            <w:r w:rsidRPr="0009215B">
              <w:rPr>
                <w:rFonts w:cs="Arial"/>
                <w:lang w:val="en-US"/>
              </w:rPr>
              <w:t>Acquisition of any equipment must be carefully detailed and justified.</w:t>
            </w:r>
          </w:p>
          <w:p w14:paraId="468DA3DF" w14:textId="42D46F43" w:rsidR="00865F06" w:rsidRPr="0009215B" w:rsidRDefault="00865F06" w:rsidP="00C17B14">
            <w:pPr>
              <w:pStyle w:val="ListParagraph"/>
              <w:numPr>
                <w:ilvl w:val="0"/>
                <w:numId w:val="1"/>
              </w:numPr>
              <w:rPr>
                <w:rFonts w:cs="Arial"/>
                <w:lang w:val="en-US"/>
              </w:rPr>
            </w:pPr>
            <w:r w:rsidRPr="0009215B">
              <w:rPr>
                <w:rFonts w:cs="Arial"/>
                <w:lang w:val="en-US"/>
              </w:rPr>
              <w:t>Office supply expenses are limited to $250.</w:t>
            </w:r>
          </w:p>
          <w:p w14:paraId="7746B25E" w14:textId="77777777" w:rsidR="004D5BF5" w:rsidRPr="0009215B" w:rsidRDefault="004D5BF5" w:rsidP="004D5BF5">
            <w:pPr>
              <w:pStyle w:val="ListParagraph"/>
              <w:numPr>
                <w:ilvl w:val="0"/>
                <w:numId w:val="1"/>
              </w:numPr>
              <w:rPr>
                <w:rFonts w:cs="Arial"/>
                <w:lang w:val="en-US"/>
              </w:rPr>
            </w:pPr>
            <w:r w:rsidRPr="0009215B">
              <w:rPr>
                <w:rFonts w:cs="Arial"/>
                <w:lang w:val="en-US"/>
              </w:rPr>
              <w:t>Unspent residual balances greater than 50% must be reimbursed.</w:t>
            </w:r>
          </w:p>
          <w:p w14:paraId="529D817E" w14:textId="5FE792CF" w:rsidR="00220C4B" w:rsidRPr="0009215B" w:rsidRDefault="00D31B2C" w:rsidP="004A0319">
            <w:pPr>
              <w:pStyle w:val="ListParagraph"/>
              <w:numPr>
                <w:ilvl w:val="0"/>
                <w:numId w:val="1"/>
              </w:numPr>
              <w:rPr>
                <w:rFonts w:cs="Arial"/>
                <w:lang w:val="en-US"/>
              </w:rPr>
            </w:pPr>
            <w:r w:rsidRPr="0009215B">
              <w:rPr>
                <w:rFonts w:cs="Arial"/>
                <w:lang w:val="en-US"/>
              </w:rPr>
              <w:t xml:space="preserve">Financial Reporting: </w:t>
            </w:r>
            <w:r w:rsidR="004A0319" w:rsidRPr="0009215B">
              <w:rPr>
                <w:rFonts w:cs="Arial"/>
                <w:lang w:val="en-US"/>
              </w:rPr>
              <w:t>A</w:t>
            </w:r>
            <w:r w:rsidRPr="0009215B">
              <w:rPr>
                <w:rFonts w:cs="Arial"/>
                <w:lang w:val="en-US"/>
              </w:rPr>
              <w:t xml:space="preserve">nnual </w:t>
            </w:r>
            <w:r w:rsidR="00C9778B" w:rsidRPr="0009215B">
              <w:rPr>
                <w:rFonts w:cs="Arial"/>
                <w:lang w:val="en-US"/>
              </w:rPr>
              <w:t>Statement of Account (Form 300)</w:t>
            </w:r>
            <w:r w:rsidRPr="0009215B">
              <w:rPr>
                <w:rFonts w:cs="Arial"/>
                <w:lang w:val="en-US"/>
              </w:rPr>
              <w:t xml:space="preserve"> due June 30th. </w:t>
            </w:r>
          </w:p>
        </w:tc>
      </w:tr>
    </w:tbl>
    <w:p w14:paraId="102C5285" w14:textId="77777777" w:rsidR="00F85329" w:rsidRPr="0009215B" w:rsidRDefault="00F85329" w:rsidP="00F85329">
      <w:pPr>
        <w:spacing w:after="120"/>
      </w:pPr>
    </w:p>
    <w:p w14:paraId="0F667EAD" w14:textId="32E01A0B" w:rsidR="00F85329" w:rsidRPr="0009215B" w:rsidRDefault="00D047E6" w:rsidP="00816191">
      <w:pPr>
        <w:spacing w:after="120" w:line="240" w:lineRule="auto"/>
        <w:rPr>
          <w:rFonts w:ascii="Arial Rounded MT Bold" w:hAnsi="Arial Rounded MT Bold"/>
          <w:color w:val="1F4E79" w:themeColor="accent1" w:themeShade="80"/>
          <w:lang w:val="en-US"/>
        </w:rPr>
      </w:pPr>
      <w:hyperlink r:id="rId11" w:history="1">
        <w:r w:rsidR="00F85329" w:rsidRPr="0009215B">
          <w:rPr>
            <w:rStyle w:val="Hyperlink"/>
            <w:rFonts w:ascii="Arial Rounded MT Bold" w:hAnsi="Arial Rounded MT Bold"/>
            <w:lang w:val="en-US"/>
          </w:rPr>
          <w:t>NSERC D</w:t>
        </w:r>
        <w:r w:rsidR="00352C08" w:rsidRPr="0009215B">
          <w:rPr>
            <w:rStyle w:val="Hyperlink"/>
            <w:rFonts w:ascii="Arial Rounded MT Bold" w:hAnsi="Arial Rounded MT Bold"/>
            <w:lang w:val="en-US"/>
          </w:rPr>
          <w:t xml:space="preserve">iscovery </w:t>
        </w:r>
        <w:r w:rsidR="00F85329" w:rsidRPr="0009215B">
          <w:rPr>
            <w:rStyle w:val="Hyperlink"/>
            <w:rFonts w:ascii="Arial Rounded MT Bold" w:hAnsi="Arial Rounded MT Bold"/>
            <w:lang w:val="en-US"/>
          </w:rPr>
          <w:t>G</w:t>
        </w:r>
      </w:hyperlink>
      <w:r w:rsidR="00352C08" w:rsidRPr="0009215B">
        <w:rPr>
          <w:rStyle w:val="Hyperlink"/>
          <w:rFonts w:ascii="Arial Rounded MT Bold" w:hAnsi="Arial Rounded MT Bold"/>
          <w:lang w:val="en-US"/>
        </w:rPr>
        <w:t>rant (DG)</w:t>
      </w:r>
    </w:p>
    <w:tbl>
      <w:tblPr>
        <w:tblStyle w:val="TableGrid"/>
        <w:tblW w:w="0" w:type="auto"/>
        <w:tblLook w:val="04A0" w:firstRow="1" w:lastRow="0" w:firstColumn="1" w:lastColumn="0" w:noHBand="0" w:noVBand="1"/>
      </w:tblPr>
      <w:tblGrid>
        <w:gridCol w:w="2065"/>
        <w:gridCol w:w="12325"/>
      </w:tblGrid>
      <w:tr w:rsidR="00236EE0" w:rsidRPr="0009215B" w14:paraId="42D3E1AA" w14:textId="77777777" w:rsidTr="00E828E4">
        <w:trPr>
          <w:trHeight w:val="134"/>
        </w:trPr>
        <w:tc>
          <w:tcPr>
            <w:tcW w:w="2065" w:type="dxa"/>
            <w:shd w:val="clear" w:color="auto" w:fill="2F5496" w:themeFill="accent5" w:themeFillShade="BF"/>
          </w:tcPr>
          <w:p w14:paraId="6A167BD3" w14:textId="77777777" w:rsidR="00236EE0" w:rsidRPr="0009215B" w:rsidRDefault="00236EE0" w:rsidP="0086239E">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Typical Grant Amount and Duration</w:t>
            </w:r>
          </w:p>
        </w:tc>
        <w:tc>
          <w:tcPr>
            <w:tcW w:w="12325" w:type="dxa"/>
            <w:shd w:val="clear" w:color="auto" w:fill="2F5496" w:themeFill="accent5" w:themeFillShade="BF"/>
          </w:tcPr>
          <w:p w14:paraId="7B994AB4" w14:textId="675631C1" w:rsidR="00236EE0" w:rsidRPr="0009215B" w:rsidRDefault="00615385" w:rsidP="0086239E">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Financial Characteristics</w:t>
            </w:r>
          </w:p>
        </w:tc>
      </w:tr>
      <w:tr w:rsidR="00236EE0" w:rsidRPr="0009215B" w14:paraId="2BCCD4B8" w14:textId="77777777" w:rsidTr="00E828E4">
        <w:tc>
          <w:tcPr>
            <w:tcW w:w="2065" w:type="dxa"/>
          </w:tcPr>
          <w:p w14:paraId="5584FD6A" w14:textId="77777777" w:rsidR="00236EE0" w:rsidRPr="0009215B" w:rsidRDefault="00236EE0" w:rsidP="0086239E">
            <w:pPr>
              <w:pStyle w:val="ListParagraph"/>
              <w:numPr>
                <w:ilvl w:val="0"/>
                <w:numId w:val="1"/>
              </w:numPr>
              <w:rPr>
                <w:rFonts w:cs="Arial"/>
                <w:lang w:val="en-US"/>
              </w:rPr>
            </w:pPr>
            <w:r w:rsidRPr="0009215B">
              <w:rPr>
                <w:rFonts w:cs="Arial"/>
                <w:lang w:val="en-US"/>
              </w:rPr>
              <w:t>Grant amount varies</w:t>
            </w:r>
          </w:p>
          <w:p w14:paraId="69FAB05C" w14:textId="77777777" w:rsidR="00236EE0" w:rsidRPr="0009215B" w:rsidRDefault="00236EE0" w:rsidP="00414F9B">
            <w:pPr>
              <w:pStyle w:val="ListParagraph"/>
              <w:numPr>
                <w:ilvl w:val="0"/>
                <w:numId w:val="1"/>
              </w:numPr>
              <w:rPr>
                <w:rFonts w:cs="Arial"/>
                <w:lang w:val="en-US"/>
              </w:rPr>
            </w:pPr>
            <w:r w:rsidRPr="0009215B">
              <w:rPr>
                <w:rFonts w:cs="Arial"/>
                <w:lang w:val="en-US"/>
              </w:rPr>
              <w:t>Up to 5 years with automatic extension period of 1 year</w:t>
            </w:r>
          </w:p>
        </w:tc>
        <w:tc>
          <w:tcPr>
            <w:tcW w:w="12325" w:type="dxa"/>
          </w:tcPr>
          <w:p w14:paraId="7A1C38B1" w14:textId="6CCCAB6B" w:rsidR="00266153" w:rsidRPr="0009215B" w:rsidRDefault="00266153" w:rsidP="0086239E">
            <w:pPr>
              <w:pStyle w:val="ListParagraph"/>
              <w:numPr>
                <w:ilvl w:val="0"/>
                <w:numId w:val="1"/>
              </w:numPr>
              <w:rPr>
                <w:rFonts w:cs="Arial"/>
                <w:lang w:val="en-US"/>
              </w:rPr>
            </w:pPr>
            <w:r w:rsidRPr="0009215B">
              <w:rPr>
                <w:rFonts w:cs="Arial"/>
                <w:lang w:val="en-US"/>
              </w:rPr>
              <w:t>The Discovery Grants Program supports ongoing programs of research (with long-term goals) rather than a single short-term project or collection of projects. These grants recognize the creativity and innovation that are at the heart of all research advances. Discovery Grants are considered ‘grants in aid’ of research as they provide long term operating funds to support the costs of a research program.</w:t>
            </w:r>
          </w:p>
          <w:p w14:paraId="5A206E3B" w14:textId="6EEED075" w:rsidR="00266153" w:rsidRPr="0009215B" w:rsidRDefault="00266153" w:rsidP="00266153">
            <w:pPr>
              <w:pStyle w:val="ListParagraph"/>
              <w:numPr>
                <w:ilvl w:val="0"/>
                <w:numId w:val="1"/>
              </w:numPr>
              <w:rPr>
                <w:rFonts w:cs="Arial"/>
                <w:lang w:val="en-US"/>
              </w:rPr>
            </w:pPr>
            <w:r w:rsidRPr="0009215B">
              <w:rPr>
                <w:rFonts w:cs="Arial"/>
                <w:lang w:val="en-US"/>
              </w:rPr>
              <w:t>Renewal request is required</w:t>
            </w:r>
            <w:r w:rsidR="00724BC0" w:rsidRPr="0009215B">
              <w:rPr>
                <w:rFonts w:cs="Arial"/>
                <w:lang w:val="en-US"/>
              </w:rPr>
              <w:t xml:space="preserve"> where such would extend the total grant to beyond</w:t>
            </w:r>
            <w:r w:rsidRPr="0009215B">
              <w:rPr>
                <w:rFonts w:cs="Arial"/>
                <w:lang w:val="en-US"/>
              </w:rPr>
              <w:t xml:space="preserve"> 6 years.</w:t>
            </w:r>
          </w:p>
          <w:p w14:paraId="075C1EE0" w14:textId="7FC36DD1" w:rsidR="00D1750F" w:rsidRPr="0009215B" w:rsidRDefault="00D1750F" w:rsidP="00D1750F">
            <w:pPr>
              <w:pStyle w:val="ListParagraph"/>
              <w:numPr>
                <w:ilvl w:val="0"/>
                <w:numId w:val="1"/>
              </w:numPr>
              <w:rPr>
                <w:rFonts w:cs="Arial"/>
                <w:lang w:val="en-US"/>
              </w:rPr>
            </w:pPr>
            <w:r w:rsidRPr="0009215B">
              <w:rPr>
                <w:rFonts w:cs="Arial"/>
                <w:lang w:val="en-US"/>
              </w:rPr>
              <w:t xml:space="preserve">Flexible on budget allocation – the funder will not hold the researcher to budget in a strict sense as long as the </w:t>
            </w:r>
            <w:r w:rsidR="009D2935" w:rsidRPr="0009215B">
              <w:rPr>
                <w:rFonts w:cs="Arial"/>
                <w:lang w:val="en-US"/>
              </w:rPr>
              <w:t>grant</w:t>
            </w:r>
            <w:r w:rsidRPr="0009215B">
              <w:rPr>
                <w:rFonts w:cs="Arial"/>
                <w:lang w:val="en-US"/>
              </w:rPr>
              <w:t xml:space="preserve"> is used for the broad purpose for which it was originally awarded.</w:t>
            </w:r>
          </w:p>
          <w:p w14:paraId="7C77C699" w14:textId="3677762D" w:rsidR="00236EE0" w:rsidRPr="0009215B" w:rsidRDefault="00236EE0" w:rsidP="0086239E">
            <w:pPr>
              <w:pStyle w:val="ListParagraph"/>
              <w:numPr>
                <w:ilvl w:val="0"/>
                <w:numId w:val="1"/>
              </w:numPr>
              <w:rPr>
                <w:rFonts w:cs="Arial"/>
                <w:lang w:val="en-US"/>
              </w:rPr>
            </w:pPr>
            <w:r w:rsidRPr="0009215B">
              <w:rPr>
                <w:rFonts w:cs="Arial"/>
                <w:lang w:val="en-US"/>
              </w:rPr>
              <w:t>Unspent residual balances</w:t>
            </w:r>
            <w:r w:rsidR="009A7650" w:rsidRPr="0009215B">
              <w:rPr>
                <w:rFonts w:cs="Arial"/>
                <w:lang w:val="en-US"/>
              </w:rPr>
              <w:t xml:space="preserve"> greater than 50% must be reimbursed.</w:t>
            </w:r>
          </w:p>
          <w:p w14:paraId="1A0ACFA6" w14:textId="50654DB7" w:rsidR="00220C4B" w:rsidRPr="0009215B" w:rsidRDefault="00D31B2C" w:rsidP="00682BA3">
            <w:pPr>
              <w:pStyle w:val="ListParagraph"/>
              <w:numPr>
                <w:ilvl w:val="0"/>
                <w:numId w:val="1"/>
              </w:numPr>
              <w:rPr>
                <w:rFonts w:cs="Arial"/>
                <w:lang w:val="en-US"/>
              </w:rPr>
            </w:pPr>
            <w:r w:rsidRPr="0009215B">
              <w:rPr>
                <w:rFonts w:cs="Arial"/>
                <w:lang w:val="en-US"/>
              </w:rPr>
              <w:t xml:space="preserve">Financial Reporting: </w:t>
            </w:r>
            <w:r w:rsidR="00682BA3" w:rsidRPr="0009215B">
              <w:rPr>
                <w:rFonts w:cs="Arial"/>
                <w:lang w:val="en-US"/>
              </w:rPr>
              <w:t>A</w:t>
            </w:r>
            <w:r w:rsidRPr="0009215B">
              <w:rPr>
                <w:rFonts w:cs="Arial"/>
                <w:lang w:val="en-US"/>
              </w:rPr>
              <w:t>nnual Statement of Account (Form</w:t>
            </w:r>
            <w:r w:rsidR="00C9778B" w:rsidRPr="0009215B">
              <w:rPr>
                <w:rFonts w:cs="Arial"/>
                <w:lang w:val="en-US"/>
              </w:rPr>
              <w:t xml:space="preserve"> </w:t>
            </w:r>
            <w:r w:rsidR="00FD1CF3" w:rsidRPr="0009215B">
              <w:rPr>
                <w:rFonts w:cs="Arial"/>
                <w:lang w:val="en-US"/>
              </w:rPr>
              <w:t xml:space="preserve">300) due June 30th. </w:t>
            </w:r>
          </w:p>
        </w:tc>
      </w:tr>
    </w:tbl>
    <w:p w14:paraId="6C096045" w14:textId="27B7EA1E" w:rsidR="00C17B14" w:rsidRPr="0009215B" w:rsidRDefault="00C17B14"/>
    <w:p w14:paraId="3EBF3792" w14:textId="45FD1AAE" w:rsidR="00F85329" w:rsidRPr="0009215B" w:rsidRDefault="00D047E6" w:rsidP="009542D2">
      <w:pPr>
        <w:spacing w:after="120" w:line="240" w:lineRule="auto"/>
        <w:rPr>
          <w:rFonts w:ascii="Arial Rounded MT Bold" w:hAnsi="Arial Rounded MT Bold"/>
          <w:color w:val="1F4E79" w:themeColor="accent1" w:themeShade="80"/>
          <w:lang w:val="en-US"/>
        </w:rPr>
      </w:pPr>
      <w:hyperlink r:id="rId12" w:history="1">
        <w:r w:rsidR="00F85329" w:rsidRPr="0009215B">
          <w:rPr>
            <w:rStyle w:val="Hyperlink"/>
            <w:rFonts w:ascii="Arial Rounded MT Bold" w:hAnsi="Arial Rounded MT Bold"/>
            <w:lang w:val="en-US"/>
          </w:rPr>
          <w:t>NSERC C</w:t>
        </w:r>
        <w:r w:rsidR="007C3CDF" w:rsidRPr="0009215B">
          <w:rPr>
            <w:rStyle w:val="Hyperlink"/>
            <w:rFonts w:ascii="Arial Rounded MT Bold" w:hAnsi="Arial Rounded MT Bold"/>
            <w:lang w:val="en-US"/>
          </w:rPr>
          <w:t xml:space="preserve">ollaborative </w:t>
        </w:r>
        <w:r w:rsidR="00F85329" w:rsidRPr="0009215B">
          <w:rPr>
            <w:rStyle w:val="Hyperlink"/>
            <w:rFonts w:ascii="Arial Rounded MT Bold" w:hAnsi="Arial Rounded MT Bold"/>
            <w:lang w:val="en-US"/>
          </w:rPr>
          <w:t>R</w:t>
        </w:r>
        <w:r w:rsidR="007C3CDF" w:rsidRPr="0009215B">
          <w:rPr>
            <w:rStyle w:val="Hyperlink"/>
            <w:rFonts w:ascii="Arial Rounded MT Bold" w:hAnsi="Arial Rounded MT Bold"/>
            <w:lang w:val="en-US"/>
          </w:rPr>
          <w:t xml:space="preserve">esearch and </w:t>
        </w:r>
        <w:r w:rsidR="00F85329" w:rsidRPr="0009215B">
          <w:rPr>
            <w:rStyle w:val="Hyperlink"/>
            <w:rFonts w:ascii="Arial Rounded MT Bold" w:hAnsi="Arial Rounded MT Bold"/>
            <w:lang w:val="en-US"/>
          </w:rPr>
          <w:t>D</w:t>
        </w:r>
      </w:hyperlink>
      <w:r w:rsidR="007C3CDF" w:rsidRPr="0009215B">
        <w:rPr>
          <w:rStyle w:val="Hyperlink"/>
          <w:rFonts w:ascii="Arial Rounded MT Bold" w:hAnsi="Arial Rounded MT Bold"/>
          <w:lang w:val="en-US"/>
        </w:rPr>
        <w:t>evelopment (CRD)</w:t>
      </w:r>
    </w:p>
    <w:tbl>
      <w:tblPr>
        <w:tblStyle w:val="TableGrid"/>
        <w:tblW w:w="0" w:type="auto"/>
        <w:tblLook w:val="04A0" w:firstRow="1" w:lastRow="0" w:firstColumn="1" w:lastColumn="0" w:noHBand="0" w:noVBand="1"/>
      </w:tblPr>
      <w:tblGrid>
        <w:gridCol w:w="2065"/>
        <w:gridCol w:w="12325"/>
      </w:tblGrid>
      <w:tr w:rsidR="00220C4B" w:rsidRPr="0009215B" w14:paraId="386DE2A6" w14:textId="77777777" w:rsidTr="00E828E4">
        <w:tc>
          <w:tcPr>
            <w:tcW w:w="2065" w:type="dxa"/>
            <w:shd w:val="clear" w:color="auto" w:fill="2F5496" w:themeFill="accent5" w:themeFillShade="BF"/>
          </w:tcPr>
          <w:p w14:paraId="48C3A34C" w14:textId="77777777" w:rsidR="00220C4B" w:rsidRPr="0009215B" w:rsidRDefault="00220C4B" w:rsidP="0086239E">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Typical Grant Amount and Duration</w:t>
            </w:r>
          </w:p>
        </w:tc>
        <w:tc>
          <w:tcPr>
            <w:tcW w:w="12325" w:type="dxa"/>
            <w:shd w:val="clear" w:color="auto" w:fill="2F5496" w:themeFill="accent5" w:themeFillShade="BF"/>
          </w:tcPr>
          <w:p w14:paraId="145C6A7C" w14:textId="292E983F" w:rsidR="00220C4B" w:rsidRPr="0009215B" w:rsidRDefault="00615385" w:rsidP="0086239E">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Financial Characteristics</w:t>
            </w:r>
          </w:p>
        </w:tc>
      </w:tr>
      <w:tr w:rsidR="00220C4B" w:rsidRPr="0009215B" w14:paraId="146091B9" w14:textId="77777777" w:rsidTr="00E828E4">
        <w:tc>
          <w:tcPr>
            <w:tcW w:w="2065" w:type="dxa"/>
          </w:tcPr>
          <w:p w14:paraId="6A9CDEB5" w14:textId="77777777" w:rsidR="00220C4B" w:rsidRPr="0009215B" w:rsidRDefault="00220C4B" w:rsidP="0086239E">
            <w:pPr>
              <w:pStyle w:val="ListParagraph"/>
              <w:numPr>
                <w:ilvl w:val="0"/>
                <w:numId w:val="1"/>
              </w:numPr>
              <w:rPr>
                <w:rFonts w:cs="Arial"/>
                <w:lang w:val="en-US"/>
              </w:rPr>
            </w:pPr>
            <w:r w:rsidRPr="0009215B">
              <w:rPr>
                <w:rFonts w:cs="Arial"/>
                <w:lang w:val="en-US"/>
              </w:rPr>
              <w:t>Grant amount varies</w:t>
            </w:r>
          </w:p>
          <w:p w14:paraId="1F18AEE1" w14:textId="3241D8C7" w:rsidR="00220C4B" w:rsidRPr="0009215B" w:rsidRDefault="004B6EF2" w:rsidP="004B6EF2">
            <w:pPr>
              <w:pStyle w:val="ListParagraph"/>
              <w:numPr>
                <w:ilvl w:val="0"/>
                <w:numId w:val="1"/>
              </w:numPr>
              <w:rPr>
                <w:rFonts w:cs="Arial"/>
                <w:lang w:val="en-US"/>
              </w:rPr>
            </w:pPr>
            <w:r w:rsidRPr="0009215B">
              <w:rPr>
                <w:rFonts w:cs="Arial"/>
                <w:lang w:val="en-US"/>
              </w:rPr>
              <w:t xml:space="preserve">Generally </w:t>
            </w:r>
            <w:r w:rsidR="00220C4B" w:rsidRPr="0009215B">
              <w:rPr>
                <w:rFonts w:cs="Arial"/>
                <w:lang w:val="en-US"/>
              </w:rPr>
              <w:t>2 to 3 years</w:t>
            </w:r>
            <w:r w:rsidRPr="0009215B">
              <w:rPr>
                <w:rFonts w:cs="Arial"/>
                <w:lang w:val="en-US"/>
              </w:rPr>
              <w:t xml:space="preserve">, can be up to </w:t>
            </w:r>
            <w:r w:rsidR="00220C4B" w:rsidRPr="0009215B">
              <w:rPr>
                <w:rFonts w:cs="Arial"/>
                <w:lang w:val="en-US"/>
              </w:rPr>
              <w:t>5 years</w:t>
            </w:r>
          </w:p>
        </w:tc>
        <w:tc>
          <w:tcPr>
            <w:tcW w:w="12325" w:type="dxa"/>
          </w:tcPr>
          <w:p w14:paraId="19CAFF8B" w14:textId="6312969A" w:rsidR="00CD776B" w:rsidRPr="0009215B" w:rsidRDefault="00CD776B" w:rsidP="0086239E">
            <w:pPr>
              <w:pStyle w:val="ListParagraph"/>
              <w:numPr>
                <w:ilvl w:val="0"/>
                <w:numId w:val="1"/>
              </w:numPr>
              <w:rPr>
                <w:rFonts w:cs="Arial"/>
                <w:lang w:val="en-US"/>
              </w:rPr>
            </w:pPr>
            <w:r w:rsidRPr="0009215B">
              <w:rPr>
                <w:rFonts w:cs="Arial"/>
                <w:lang w:val="en-US"/>
              </w:rPr>
              <w:t xml:space="preserve">CRD Grants are intended to give companies that operate from a Canadian base access to the unique knowledge, expertise, and educational resources available at Canadian postsecondary institutions and to train students in essential technical skills required by industry. </w:t>
            </w:r>
          </w:p>
          <w:p w14:paraId="35A80230" w14:textId="5D6ABBC7" w:rsidR="00690F7A" w:rsidRPr="0009215B" w:rsidRDefault="00690F7A" w:rsidP="00690F7A">
            <w:pPr>
              <w:pStyle w:val="ListParagraph"/>
              <w:numPr>
                <w:ilvl w:val="0"/>
                <w:numId w:val="1"/>
              </w:numPr>
              <w:rPr>
                <w:rFonts w:cs="Arial"/>
                <w:lang w:val="en-US"/>
              </w:rPr>
            </w:pPr>
            <w:r w:rsidRPr="0009215B">
              <w:rPr>
                <w:rFonts w:cs="Arial"/>
                <w:lang w:val="en-US"/>
              </w:rPr>
              <w:t xml:space="preserve">Requires at least one industry partner that must (a) provide a contribution which may be cash or other support such as in-kind, and (b) </w:t>
            </w:r>
            <w:r w:rsidR="00FD1CF3" w:rsidRPr="0009215B">
              <w:rPr>
                <w:rFonts w:cs="Arial"/>
                <w:lang w:val="en-US"/>
              </w:rPr>
              <w:t xml:space="preserve">have been </w:t>
            </w:r>
            <w:r w:rsidRPr="0009215B">
              <w:rPr>
                <w:rFonts w:cs="Arial"/>
                <w:lang w:val="en-US"/>
              </w:rPr>
              <w:t xml:space="preserve">in operation for at least 2 years. </w:t>
            </w:r>
          </w:p>
          <w:p w14:paraId="33F83386" w14:textId="056B29CE" w:rsidR="00F27675" w:rsidRPr="0009215B" w:rsidRDefault="00B5167A" w:rsidP="0086239E">
            <w:pPr>
              <w:pStyle w:val="ListParagraph"/>
              <w:numPr>
                <w:ilvl w:val="0"/>
                <w:numId w:val="1"/>
              </w:numPr>
              <w:rPr>
                <w:rFonts w:cs="Arial"/>
                <w:lang w:val="en-US"/>
              </w:rPr>
            </w:pPr>
            <w:r w:rsidRPr="0009215B">
              <w:rPr>
                <w:rFonts w:cs="Arial"/>
                <w:lang w:val="en-US"/>
              </w:rPr>
              <w:t>Not renewable however may be extended depending on the circumstances.</w:t>
            </w:r>
          </w:p>
          <w:p w14:paraId="796F02EE" w14:textId="7BB6D3C5" w:rsidR="00220C4B" w:rsidRPr="0009215B" w:rsidRDefault="00CD776B" w:rsidP="0086239E">
            <w:pPr>
              <w:pStyle w:val="ListParagraph"/>
              <w:numPr>
                <w:ilvl w:val="0"/>
                <w:numId w:val="1"/>
              </w:numPr>
              <w:rPr>
                <w:rFonts w:cs="Arial"/>
                <w:lang w:val="en-US"/>
              </w:rPr>
            </w:pPr>
            <w:r w:rsidRPr="0009215B">
              <w:rPr>
                <w:rFonts w:cs="Arial"/>
                <w:lang w:val="en-US"/>
              </w:rPr>
              <w:t xml:space="preserve">Detailed budget </w:t>
            </w:r>
            <w:r w:rsidR="00AC43F1" w:rsidRPr="0009215B">
              <w:rPr>
                <w:rFonts w:cs="Arial"/>
                <w:lang w:val="en-US"/>
              </w:rPr>
              <w:t xml:space="preserve">set up </w:t>
            </w:r>
            <w:r w:rsidRPr="0009215B">
              <w:rPr>
                <w:rFonts w:cs="Arial"/>
                <w:lang w:val="en-US"/>
              </w:rPr>
              <w:t>needed</w:t>
            </w:r>
            <w:r w:rsidR="00561019" w:rsidRPr="0009215B">
              <w:rPr>
                <w:rFonts w:cs="Arial"/>
                <w:lang w:val="en-US"/>
              </w:rPr>
              <w:t xml:space="preserve"> for expenditures</w:t>
            </w:r>
            <w:r w:rsidR="00AC43F1" w:rsidRPr="0009215B">
              <w:rPr>
                <w:rFonts w:cs="Arial"/>
                <w:lang w:val="en-US"/>
              </w:rPr>
              <w:t xml:space="preserve"> – as proposed in original budget</w:t>
            </w:r>
            <w:r w:rsidRPr="0009215B">
              <w:rPr>
                <w:rFonts w:cs="Arial"/>
                <w:lang w:val="en-US"/>
              </w:rPr>
              <w:t>.</w:t>
            </w:r>
          </w:p>
          <w:p w14:paraId="32D06111" w14:textId="18E355A2" w:rsidR="00220C4B" w:rsidRPr="0009215B" w:rsidRDefault="00220C4B" w:rsidP="0086239E">
            <w:pPr>
              <w:pStyle w:val="ListParagraph"/>
              <w:numPr>
                <w:ilvl w:val="0"/>
                <w:numId w:val="1"/>
              </w:numPr>
              <w:rPr>
                <w:rFonts w:cs="Arial"/>
                <w:lang w:val="en-US"/>
              </w:rPr>
            </w:pPr>
            <w:r w:rsidRPr="0009215B">
              <w:rPr>
                <w:rFonts w:cs="Arial"/>
                <w:lang w:val="en-US"/>
              </w:rPr>
              <w:t>Annual progress report from P</w:t>
            </w:r>
            <w:r w:rsidR="00414ACF" w:rsidRPr="0009215B">
              <w:rPr>
                <w:rFonts w:cs="Arial"/>
                <w:lang w:val="en-US"/>
              </w:rPr>
              <w:t xml:space="preserve">rimary </w:t>
            </w:r>
            <w:r w:rsidRPr="0009215B">
              <w:rPr>
                <w:rFonts w:cs="Arial"/>
                <w:lang w:val="en-US"/>
              </w:rPr>
              <w:t>I</w:t>
            </w:r>
            <w:r w:rsidR="00414ACF" w:rsidRPr="0009215B">
              <w:rPr>
                <w:rFonts w:cs="Arial"/>
                <w:lang w:val="en-US"/>
              </w:rPr>
              <w:t>nvestigator (PI)</w:t>
            </w:r>
            <w:r w:rsidR="00A76D0A" w:rsidRPr="0009215B">
              <w:rPr>
                <w:rFonts w:cs="Arial"/>
                <w:lang w:val="en-US"/>
              </w:rPr>
              <w:t>.</w:t>
            </w:r>
          </w:p>
          <w:p w14:paraId="7F28A5B5" w14:textId="152C223B" w:rsidR="00220C4B" w:rsidRPr="0009215B" w:rsidRDefault="009328E8" w:rsidP="0086239E">
            <w:pPr>
              <w:pStyle w:val="ListParagraph"/>
              <w:numPr>
                <w:ilvl w:val="0"/>
                <w:numId w:val="1"/>
              </w:numPr>
              <w:rPr>
                <w:rFonts w:cs="Arial"/>
                <w:lang w:val="en-US"/>
              </w:rPr>
            </w:pPr>
            <w:r w:rsidRPr="0009215B">
              <w:rPr>
                <w:rFonts w:cs="Arial"/>
                <w:lang w:val="en-US"/>
              </w:rPr>
              <w:t xml:space="preserve">Agency must approve payments to a </w:t>
            </w:r>
            <w:r w:rsidR="00114566" w:rsidRPr="0009215B">
              <w:rPr>
                <w:rFonts w:cs="Arial"/>
                <w:lang w:val="en-US"/>
              </w:rPr>
              <w:t>Post-Doctoral</w:t>
            </w:r>
            <w:r w:rsidR="002175D9" w:rsidRPr="0009215B">
              <w:rPr>
                <w:rFonts w:cs="Arial"/>
                <w:lang w:val="en-US"/>
              </w:rPr>
              <w:t xml:space="preserve"> Fellow</w:t>
            </w:r>
            <w:r w:rsidR="00A76D0A" w:rsidRPr="0009215B">
              <w:rPr>
                <w:rFonts w:cs="Arial"/>
                <w:lang w:val="en-US"/>
              </w:rPr>
              <w:t>.</w:t>
            </w:r>
          </w:p>
          <w:p w14:paraId="153DB113" w14:textId="77777777" w:rsidR="00A76D0A" w:rsidRPr="0009215B" w:rsidRDefault="00A76D0A" w:rsidP="00A76D0A">
            <w:pPr>
              <w:pStyle w:val="ListParagraph"/>
              <w:numPr>
                <w:ilvl w:val="0"/>
                <w:numId w:val="1"/>
              </w:numPr>
              <w:rPr>
                <w:rFonts w:cs="Arial"/>
                <w:lang w:val="en-US"/>
              </w:rPr>
            </w:pPr>
            <w:r w:rsidRPr="0009215B">
              <w:rPr>
                <w:rFonts w:cs="Arial"/>
                <w:lang w:val="en-US"/>
              </w:rPr>
              <w:t>Unspent residual balances greater than 50% must be reimbursed.</w:t>
            </w:r>
          </w:p>
          <w:p w14:paraId="62F9633A" w14:textId="1002140D" w:rsidR="00220C4B" w:rsidRPr="0009215B" w:rsidRDefault="00D31B2C" w:rsidP="003C43AA">
            <w:pPr>
              <w:pStyle w:val="ListParagraph"/>
              <w:numPr>
                <w:ilvl w:val="0"/>
                <w:numId w:val="1"/>
              </w:numPr>
              <w:rPr>
                <w:rFonts w:cs="Arial"/>
                <w:lang w:val="en-US"/>
              </w:rPr>
            </w:pPr>
            <w:r w:rsidRPr="0009215B">
              <w:rPr>
                <w:rFonts w:cs="Arial"/>
                <w:lang w:val="en-US"/>
              </w:rPr>
              <w:t xml:space="preserve">Financial Reporting: </w:t>
            </w:r>
            <w:r w:rsidR="003C43AA" w:rsidRPr="0009215B">
              <w:rPr>
                <w:rFonts w:cs="Arial"/>
                <w:lang w:val="en-US"/>
              </w:rPr>
              <w:t>A</w:t>
            </w:r>
            <w:r w:rsidRPr="0009215B">
              <w:rPr>
                <w:rFonts w:cs="Arial"/>
                <w:lang w:val="en-US"/>
              </w:rPr>
              <w:t>nnual Statement of Account (Form</w:t>
            </w:r>
            <w:r w:rsidR="000556D0" w:rsidRPr="0009215B">
              <w:rPr>
                <w:rFonts w:cs="Arial"/>
                <w:lang w:val="en-US"/>
              </w:rPr>
              <w:t xml:space="preserve"> </w:t>
            </w:r>
            <w:r w:rsidR="005F19B1" w:rsidRPr="0009215B">
              <w:rPr>
                <w:rFonts w:cs="Arial"/>
                <w:lang w:val="en-US"/>
              </w:rPr>
              <w:t>300) due June 30</w:t>
            </w:r>
            <w:r w:rsidR="005F19B1" w:rsidRPr="0009215B">
              <w:rPr>
                <w:rFonts w:cs="Arial"/>
                <w:vertAlign w:val="superscript"/>
                <w:lang w:val="en-US"/>
              </w:rPr>
              <w:t>th</w:t>
            </w:r>
            <w:r w:rsidR="005F19B1" w:rsidRPr="0009215B">
              <w:rPr>
                <w:rFonts w:cs="Arial"/>
                <w:lang w:val="en-US"/>
              </w:rPr>
              <w:t xml:space="preserve"> and on anniversary date.</w:t>
            </w:r>
          </w:p>
        </w:tc>
      </w:tr>
    </w:tbl>
    <w:p w14:paraId="47573D50" w14:textId="77777777" w:rsidR="0019311D" w:rsidRPr="0009215B" w:rsidRDefault="0019311D" w:rsidP="00816191">
      <w:pPr>
        <w:spacing w:before="120" w:after="120" w:line="240" w:lineRule="auto"/>
      </w:pPr>
    </w:p>
    <w:p w14:paraId="57C31E07" w14:textId="108A0475" w:rsidR="00F85329" w:rsidRPr="0009215B" w:rsidRDefault="00D047E6" w:rsidP="00816191">
      <w:pPr>
        <w:spacing w:before="120" w:after="120" w:line="240" w:lineRule="auto"/>
        <w:rPr>
          <w:rFonts w:ascii="Arial Rounded MT Bold" w:hAnsi="Arial Rounded MT Bold"/>
          <w:color w:val="1F4E79" w:themeColor="accent1" w:themeShade="80"/>
          <w:lang w:val="en-US"/>
        </w:rPr>
      </w:pPr>
      <w:hyperlink r:id="rId13" w:history="1">
        <w:r w:rsidR="00F85329" w:rsidRPr="0009215B">
          <w:rPr>
            <w:rStyle w:val="Hyperlink"/>
            <w:rFonts w:ascii="Arial Rounded MT Bold" w:hAnsi="Arial Rounded MT Bold"/>
            <w:lang w:val="en-US"/>
          </w:rPr>
          <w:t>S</w:t>
        </w:r>
        <w:r w:rsidR="00804AE0" w:rsidRPr="0009215B">
          <w:rPr>
            <w:rStyle w:val="Hyperlink"/>
            <w:rFonts w:ascii="Arial Rounded MT Bold" w:hAnsi="Arial Rounded MT Bold"/>
            <w:lang w:val="en-US"/>
          </w:rPr>
          <w:t xml:space="preserve">ocial </w:t>
        </w:r>
        <w:r w:rsidR="00F85329" w:rsidRPr="0009215B">
          <w:rPr>
            <w:rStyle w:val="Hyperlink"/>
            <w:rFonts w:ascii="Arial Rounded MT Bold" w:hAnsi="Arial Rounded MT Bold"/>
            <w:lang w:val="en-US"/>
          </w:rPr>
          <w:t>S</w:t>
        </w:r>
        <w:r w:rsidR="00804AE0" w:rsidRPr="0009215B">
          <w:rPr>
            <w:rStyle w:val="Hyperlink"/>
            <w:rFonts w:ascii="Arial Rounded MT Bold" w:hAnsi="Arial Rounded MT Bold"/>
            <w:lang w:val="en-US"/>
          </w:rPr>
          <w:t xml:space="preserve">cience and </w:t>
        </w:r>
        <w:r w:rsidR="00F85329" w:rsidRPr="0009215B">
          <w:rPr>
            <w:rStyle w:val="Hyperlink"/>
            <w:rFonts w:ascii="Arial Rounded MT Bold" w:hAnsi="Arial Rounded MT Bold"/>
            <w:lang w:val="en-US"/>
          </w:rPr>
          <w:t>H</w:t>
        </w:r>
        <w:r w:rsidR="00804AE0" w:rsidRPr="0009215B">
          <w:rPr>
            <w:rStyle w:val="Hyperlink"/>
            <w:rFonts w:ascii="Arial Rounded MT Bold" w:hAnsi="Arial Rounded MT Bold"/>
            <w:lang w:val="en-US"/>
          </w:rPr>
          <w:t xml:space="preserve">umanities </w:t>
        </w:r>
        <w:r w:rsidR="00F85329" w:rsidRPr="0009215B">
          <w:rPr>
            <w:rStyle w:val="Hyperlink"/>
            <w:rFonts w:ascii="Arial Rounded MT Bold" w:hAnsi="Arial Rounded MT Bold"/>
            <w:lang w:val="en-US"/>
          </w:rPr>
          <w:t>R</w:t>
        </w:r>
        <w:r w:rsidR="00804AE0" w:rsidRPr="0009215B">
          <w:rPr>
            <w:rStyle w:val="Hyperlink"/>
            <w:rFonts w:ascii="Arial Rounded MT Bold" w:hAnsi="Arial Rounded MT Bold"/>
            <w:lang w:val="en-US"/>
          </w:rPr>
          <w:t xml:space="preserve">esearch </w:t>
        </w:r>
        <w:r w:rsidR="00F85329" w:rsidRPr="0009215B">
          <w:rPr>
            <w:rStyle w:val="Hyperlink"/>
            <w:rFonts w:ascii="Arial Rounded MT Bold" w:hAnsi="Arial Rounded MT Bold"/>
            <w:lang w:val="en-US"/>
          </w:rPr>
          <w:t>C</w:t>
        </w:r>
      </w:hyperlink>
      <w:r w:rsidR="00804AE0" w:rsidRPr="0009215B">
        <w:rPr>
          <w:rStyle w:val="Hyperlink"/>
          <w:rFonts w:ascii="Arial Rounded MT Bold" w:hAnsi="Arial Rounded MT Bold"/>
          <w:lang w:val="en-US"/>
        </w:rPr>
        <w:t>ouncil (SSHRC)</w:t>
      </w:r>
    </w:p>
    <w:tbl>
      <w:tblPr>
        <w:tblStyle w:val="TableGrid"/>
        <w:tblW w:w="0" w:type="auto"/>
        <w:tblLook w:val="04A0" w:firstRow="1" w:lastRow="0" w:firstColumn="1" w:lastColumn="0" w:noHBand="0" w:noVBand="1"/>
      </w:tblPr>
      <w:tblGrid>
        <w:gridCol w:w="2335"/>
        <w:gridCol w:w="12055"/>
      </w:tblGrid>
      <w:tr w:rsidR="00220C4B" w:rsidRPr="0009215B" w14:paraId="17949FDB" w14:textId="77777777" w:rsidTr="009328E8">
        <w:tc>
          <w:tcPr>
            <w:tcW w:w="2335" w:type="dxa"/>
            <w:shd w:val="clear" w:color="auto" w:fill="2F5496" w:themeFill="accent5" w:themeFillShade="BF"/>
          </w:tcPr>
          <w:p w14:paraId="7363D8BE" w14:textId="77777777" w:rsidR="00220C4B" w:rsidRPr="0009215B" w:rsidRDefault="00220C4B" w:rsidP="0086239E">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Typical Grant Amount and Duration</w:t>
            </w:r>
          </w:p>
        </w:tc>
        <w:tc>
          <w:tcPr>
            <w:tcW w:w="12055" w:type="dxa"/>
            <w:shd w:val="clear" w:color="auto" w:fill="2F5496" w:themeFill="accent5" w:themeFillShade="BF"/>
          </w:tcPr>
          <w:p w14:paraId="587EE7EF" w14:textId="518E5A48" w:rsidR="00220C4B" w:rsidRPr="0009215B" w:rsidRDefault="00615385" w:rsidP="0086239E">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Financial Characteristics</w:t>
            </w:r>
          </w:p>
        </w:tc>
      </w:tr>
      <w:tr w:rsidR="00220C4B" w:rsidRPr="0009215B" w14:paraId="00EA31CA" w14:textId="77777777" w:rsidTr="009328E8">
        <w:tc>
          <w:tcPr>
            <w:tcW w:w="2335" w:type="dxa"/>
          </w:tcPr>
          <w:p w14:paraId="3BC55AD8" w14:textId="77777777" w:rsidR="00220C4B" w:rsidRPr="0009215B" w:rsidRDefault="00220C4B" w:rsidP="0086239E">
            <w:pPr>
              <w:pStyle w:val="ListParagraph"/>
              <w:numPr>
                <w:ilvl w:val="0"/>
                <w:numId w:val="1"/>
              </w:numPr>
              <w:rPr>
                <w:rFonts w:cs="Arial"/>
                <w:lang w:val="en-US"/>
              </w:rPr>
            </w:pPr>
            <w:r w:rsidRPr="0009215B">
              <w:rPr>
                <w:rFonts w:cs="Arial"/>
                <w:lang w:val="en-US"/>
              </w:rPr>
              <w:t xml:space="preserve">Grant amount varies </w:t>
            </w:r>
          </w:p>
          <w:p w14:paraId="1D3AD27C" w14:textId="77777777" w:rsidR="00220C4B" w:rsidRPr="0009215B" w:rsidRDefault="00220C4B" w:rsidP="00A94235">
            <w:pPr>
              <w:pStyle w:val="ListParagraph"/>
              <w:numPr>
                <w:ilvl w:val="0"/>
                <w:numId w:val="1"/>
              </w:numPr>
              <w:rPr>
                <w:rFonts w:cs="Arial"/>
                <w:lang w:val="en-US"/>
              </w:rPr>
            </w:pPr>
            <w:r w:rsidRPr="0009215B">
              <w:rPr>
                <w:rFonts w:cs="Arial"/>
                <w:lang w:val="en-US"/>
              </w:rPr>
              <w:t xml:space="preserve">Up to 3 years; some programs have automatic extension period of 1 year </w:t>
            </w:r>
          </w:p>
        </w:tc>
        <w:tc>
          <w:tcPr>
            <w:tcW w:w="12055" w:type="dxa"/>
          </w:tcPr>
          <w:p w14:paraId="457546A1" w14:textId="113EE91F" w:rsidR="00966EA4" w:rsidRPr="0009215B" w:rsidRDefault="00966EA4" w:rsidP="0086239E">
            <w:pPr>
              <w:pStyle w:val="ListParagraph"/>
              <w:numPr>
                <w:ilvl w:val="0"/>
                <w:numId w:val="1"/>
              </w:numPr>
              <w:rPr>
                <w:rFonts w:cs="Arial"/>
                <w:lang w:val="en-US"/>
              </w:rPr>
            </w:pPr>
            <w:r w:rsidRPr="0009215B">
              <w:rPr>
                <w:rFonts w:cs="Arial"/>
                <w:lang w:val="en-US"/>
              </w:rPr>
              <w:t>SSHRC supports postsecondary-based research, research training and knowledge mobilization activities in the social sciences and humanities.</w:t>
            </w:r>
          </w:p>
          <w:p w14:paraId="303392B0" w14:textId="458F34B7" w:rsidR="00966EA4" w:rsidRPr="0009215B" w:rsidRDefault="00966EA4" w:rsidP="0086239E">
            <w:pPr>
              <w:pStyle w:val="ListParagraph"/>
              <w:numPr>
                <w:ilvl w:val="0"/>
                <w:numId w:val="1"/>
              </w:numPr>
              <w:rPr>
                <w:rFonts w:cs="Arial"/>
                <w:lang w:val="en-US"/>
              </w:rPr>
            </w:pPr>
            <w:r w:rsidRPr="0009215B">
              <w:rPr>
                <w:rFonts w:cs="Arial"/>
                <w:lang w:val="en-US"/>
              </w:rPr>
              <w:t>Must apply for renewal.</w:t>
            </w:r>
          </w:p>
          <w:p w14:paraId="288C4EAC" w14:textId="37CCE131" w:rsidR="00220C4B" w:rsidRPr="0009215B" w:rsidRDefault="00220C4B" w:rsidP="0086239E">
            <w:pPr>
              <w:pStyle w:val="ListParagraph"/>
              <w:numPr>
                <w:ilvl w:val="0"/>
                <w:numId w:val="1"/>
              </w:numPr>
              <w:rPr>
                <w:rFonts w:cs="Arial"/>
                <w:lang w:val="en-US"/>
              </w:rPr>
            </w:pPr>
            <w:r w:rsidRPr="0009215B">
              <w:rPr>
                <w:rFonts w:cs="Arial"/>
                <w:lang w:val="en-US"/>
              </w:rPr>
              <w:t>Flexible on budget allocation</w:t>
            </w:r>
            <w:r w:rsidR="004B6EF2" w:rsidRPr="0009215B">
              <w:rPr>
                <w:rFonts w:cs="Arial"/>
                <w:lang w:val="en-US"/>
              </w:rPr>
              <w:t xml:space="preserve"> – the funder will not hold the researcher to budget in a strict sense</w:t>
            </w:r>
            <w:r w:rsidR="009D3BAA" w:rsidRPr="0009215B">
              <w:rPr>
                <w:rFonts w:cs="Arial"/>
                <w:lang w:val="en-US"/>
              </w:rPr>
              <w:t xml:space="preserve"> as long as the </w:t>
            </w:r>
            <w:r w:rsidR="00D7036C" w:rsidRPr="0009215B">
              <w:rPr>
                <w:rFonts w:cs="Arial"/>
                <w:lang w:val="en-US"/>
              </w:rPr>
              <w:t>grant</w:t>
            </w:r>
            <w:r w:rsidR="009D3BAA" w:rsidRPr="0009215B">
              <w:rPr>
                <w:rFonts w:cs="Arial"/>
                <w:lang w:val="en-US"/>
              </w:rPr>
              <w:t xml:space="preserve"> is used for the broad purpose for which it was originally awarded.</w:t>
            </w:r>
          </w:p>
          <w:p w14:paraId="76D58F19" w14:textId="77777777" w:rsidR="006B1407" w:rsidRPr="0009215B" w:rsidRDefault="006B1407" w:rsidP="006B1407">
            <w:pPr>
              <w:pStyle w:val="ListParagraph"/>
              <w:numPr>
                <w:ilvl w:val="0"/>
                <w:numId w:val="1"/>
              </w:numPr>
              <w:rPr>
                <w:rFonts w:cs="Arial"/>
                <w:lang w:val="en-US"/>
              </w:rPr>
            </w:pPr>
            <w:r w:rsidRPr="0009215B">
              <w:rPr>
                <w:rFonts w:cs="Arial"/>
                <w:lang w:val="en-US"/>
              </w:rPr>
              <w:t>Unspent residual balances greater than 50% must be reimbursed.</w:t>
            </w:r>
          </w:p>
          <w:p w14:paraId="4F4ABAB9" w14:textId="4CEA5CA1" w:rsidR="00A044F8" w:rsidRPr="0009215B" w:rsidRDefault="00A044F8" w:rsidP="00F85C0A">
            <w:pPr>
              <w:pStyle w:val="ListParagraph"/>
              <w:numPr>
                <w:ilvl w:val="0"/>
                <w:numId w:val="1"/>
              </w:numPr>
              <w:rPr>
                <w:rFonts w:cs="Arial"/>
                <w:lang w:val="en-US"/>
              </w:rPr>
            </w:pPr>
            <w:r w:rsidRPr="0009215B">
              <w:rPr>
                <w:rFonts w:cs="Arial"/>
                <w:lang w:val="en-US"/>
              </w:rPr>
              <w:t xml:space="preserve">Financial Reporting: </w:t>
            </w:r>
            <w:r w:rsidR="00F85C0A" w:rsidRPr="0009215B">
              <w:rPr>
                <w:rFonts w:cs="Arial"/>
                <w:lang w:val="en-US"/>
              </w:rPr>
              <w:t>A</w:t>
            </w:r>
            <w:r w:rsidRPr="0009215B">
              <w:rPr>
                <w:rFonts w:cs="Arial"/>
                <w:lang w:val="en-US"/>
              </w:rPr>
              <w:t>nnual Statement of Account (Form</w:t>
            </w:r>
            <w:r w:rsidR="000556D0" w:rsidRPr="0009215B">
              <w:rPr>
                <w:rFonts w:cs="Arial"/>
                <w:lang w:val="en-US"/>
              </w:rPr>
              <w:t xml:space="preserve"> </w:t>
            </w:r>
            <w:r w:rsidRPr="0009215B">
              <w:rPr>
                <w:rFonts w:cs="Arial"/>
                <w:lang w:val="en-US"/>
              </w:rPr>
              <w:t xml:space="preserve">300) due June 30th. </w:t>
            </w:r>
          </w:p>
        </w:tc>
      </w:tr>
    </w:tbl>
    <w:p w14:paraId="3384B90C" w14:textId="4EBA2969" w:rsidR="00F85329" w:rsidRPr="0009215B" w:rsidRDefault="00F85329" w:rsidP="00F85329">
      <w:pPr>
        <w:spacing w:after="120"/>
        <w:rPr>
          <w:rFonts w:ascii="Arial Rounded MT Bold" w:hAnsi="Arial Rounded MT Bold"/>
          <w:color w:val="1F4E79" w:themeColor="accent1" w:themeShade="80"/>
          <w:lang w:val="en-US"/>
        </w:rPr>
      </w:pPr>
    </w:p>
    <w:p w14:paraId="60BCE900" w14:textId="77777777" w:rsidR="0019311D" w:rsidRDefault="0019311D" w:rsidP="009542D2">
      <w:pPr>
        <w:spacing w:after="120" w:line="240" w:lineRule="auto"/>
      </w:pPr>
    </w:p>
    <w:p w14:paraId="3EC236F3" w14:textId="77777777" w:rsidR="0009215B" w:rsidRDefault="0009215B" w:rsidP="009542D2">
      <w:pPr>
        <w:spacing w:after="120" w:line="240" w:lineRule="auto"/>
      </w:pPr>
    </w:p>
    <w:p w14:paraId="3BC2E0C5" w14:textId="77777777" w:rsidR="0009215B" w:rsidRDefault="0009215B" w:rsidP="009542D2">
      <w:pPr>
        <w:spacing w:after="120" w:line="240" w:lineRule="auto"/>
      </w:pPr>
    </w:p>
    <w:p w14:paraId="3E35ACE6" w14:textId="77777777" w:rsidR="0009215B" w:rsidRPr="0009215B" w:rsidRDefault="0009215B" w:rsidP="009542D2">
      <w:pPr>
        <w:spacing w:after="120" w:line="240" w:lineRule="auto"/>
      </w:pPr>
    </w:p>
    <w:p w14:paraId="05BBD0B7" w14:textId="3ECA2B1F" w:rsidR="00F85329" w:rsidRPr="0009215B" w:rsidRDefault="00D047E6" w:rsidP="009542D2">
      <w:pPr>
        <w:spacing w:after="120" w:line="240" w:lineRule="auto"/>
        <w:rPr>
          <w:rFonts w:ascii="Arial Rounded MT Bold" w:hAnsi="Arial Rounded MT Bold"/>
          <w:color w:val="1F4E79" w:themeColor="accent1" w:themeShade="80"/>
          <w:lang w:val="en-US"/>
        </w:rPr>
      </w:pPr>
      <w:hyperlink r:id="rId14" w:history="1">
        <w:r w:rsidR="00F85329" w:rsidRPr="0009215B">
          <w:rPr>
            <w:rStyle w:val="Hyperlink"/>
            <w:rFonts w:ascii="Arial Rounded MT Bold" w:hAnsi="Arial Rounded MT Bold"/>
            <w:lang w:val="en-US"/>
          </w:rPr>
          <w:t>C</w:t>
        </w:r>
        <w:r w:rsidR="00575FC4" w:rsidRPr="0009215B">
          <w:rPr>
            <w:rStyle w:val="Hyperlink"/>
            <w:rFonts w:ascii="Arial Rounded MT Bold" w:hAnsi="Arial Rounded MT Bold"/>
            <w:lang w:val="en-US"/>
          </w:rPr>
          <w:t xml:space="preserve">anadian </w:t>
        </w:r>
        <w:r w:rsidR="00F85329" w:rsidRPr="0009215B">
          <w:rPr>
            <w:rStyle w:val="Hyperlink"/>
            <w:rFonts w:ascii="Arial Rounded MT Bold" w:hAnsi="Arial Rounded MT Bold"/>
            <w:lang w:val="en-US"/>
          </w:rPr>
          <w:t>I</w:t>
        </w:r>
        <w:r w:rsidR="00575FC4" w:rsidRPr="0009215B">
          <w:rPr>
            <w:rStyle w:val="Hyperlink"/>
            <w:rFonts w:ascii="Arial Rounded MT Bold" w:hAnsi="Arial Rounded MT Bold"/>
            <w:lang w:val="en-US"/>
          </w:rPr>
          <w:t>nstitutes of Health Research (CI</w:t>
        </w:r>
        <w:r w:rsidR="00F85329" w:rsidRPr="0009215B">
          <w:rPr>
            <w:rStyle w:val="Hyperlink"/>
            <w:rFonts w:ascii="Arial Rounded MT Bold" w:hAnsi="Arial Rounded MT Bold"/>
            <w:lang w:val="en-US"/>
          </w:rPr>
          <w:t>HR</w:t>
        </w:r>
      </w:hyperlink>
      <w:r w:rsidR="00575FC4" w:rsidRPr="0009215B">
        <w:rPr>
          <w:rStyle w:val="Hyperlink"/>
          <w:rFonts w:ascii="Arial Rounded MT Bold" w:hAnsi="Arial Rounded MT Bold"/>
          <w:lang w:val="en-US"/>
        </w:rPr>
        <w:t>)</w:t>
      </w:r>
    </w:p>
    <w:tbl>
      <w:tblPr>
        <w:tblStyle w:val="TableGrid"/>
        <w:tblW w:w="5000" w:type="pct"/>
        <w:tblLook w:val="04A0" w:firstRow="1" w:lastRow="0" w:firstColumn="1" w:lastColumn="0" w:noHBand="0" w:noVBand="1"/>
      </w:tblPr>
      <w:tblGrid>
        <w:gridCol w:w="2156"/>
        <w:gridCol w:w="12234"/>
      </w:tblGrid>
      <w:tr w:rsidR="00220C4B" w:rsidRPr="0009215B" w14:paraId="169DFD6E" w14:textId="77777777" w:rsidTr="00E828E4">
        <w:tc>
          <w:tcPr>
            <w:tcW w:w="749" w:type="pct"/>
            <w:shd w:val="clear" w:color="auto" w:fill="2F5496" w:themeFill="accent5" w:themeFillShade="BF"/>
          </w:tcPr>
          <w:p w14:paraId="1142A2CF" w14:textId="77777777" w:rsidR="00220C4B" w:rsidRPr="0009215B" w:rsidRDefault="00220C4B" w:rsidP="0086239E">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Typical Amount and Duration</w:t>
            </w:r>
          </w:p>
        </w:tc>
        <w:tc>
          <w:tcPr>
            <w:tcW w:w="4251" w:type="pct"/>
            <w:shd w:val="clear" w:color="auto" w:fill="2F5496" w:themeFill="accent5" w:themeFillShade="BF"/>
          </w:tcPr>
          <w:p w14:paraId="446CA25F" w14:textId="26B0AC5B" w:rsidR="00220C4B" w:rsidRPr="0009215B" w:rsidRDefault="00615385" w:rsidP="0086239E">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Financial Characteristics</w:t>
            </w:r>
          </w:p>
        </w:tc>
      </w:tr>
      <w:tr w:rsidR="00220C4B" w:rsidRPr="0009215B" w14:paraId="35B5A9CB" w14:textId="77777777" w:rsidTr="00E828E4">
        <w:tc>
          <w:tcPr>
            <w:tcW w:w="749" w:type="pct"/>
          </w:tcPr>
          <w:p w14:paraId="461017C3" w14:textId="77777777" w:rsidR="00220C4B" w:rsidRPr="0009215B" w:rsidRDefault="00220C4B" w:rsidP="0086239E">
            <w:pPr>
              <w:pStyle w:val="ListParagraph"/>
              <w:numPr>
                <w:ilvl w:val="0"/>
                <w:numId w:val="1"/>
              </w:numPr>
              <w:rPr>
                <w:rFonts w:cs="Arial"/>
                <w:lang w:val="en-US"/>
              </w:rPr>
            </w:pPr>
            <w:r w:rsidRPr="0009215B">
              <w:rPr>
                <w:rFonts w:cs="Arial"/>
                <w:lang w:val="en-US"/>
              </w:rPr>
              <w:t>Grant amount varies</w:t>
            </w:r>
          </w:p>
          <w:p w14:paraId="726C7385" w14:textId="77777777" w:rsidR="00220C4B" w:rsidRPr="0009215B" w:rsidRDefault="00220C4B" w:rsidP="005D45EF">
            <w:pPr>
              <w:pStyle w:val="ListParagraph"/>
              <w:numPr>
                <w:ilvl w:val="0"/>
                <w:numId w:val="1"/>
              </w:numPr>
              <w:rPr>
                <w:rFonts w:cs="Arial"/>
                <w:lang w:val="en-US"/>
              </w:rPr>
            </w:pPr>
            <w:r w:rsidRPr="0009215B">
              <w:rPr>
                <w:rFonts w:cs="Arial"/>
                <w:lang w:val="en-US"/>
              </w:rPr>
              <w:t>1 to 5 years with automatic extension period 1 year for all grants</w:t>
            </w:r>
          </w:p>
        </w:tc>
        <w:tc>
          <w:tcPr>
            <w:tcW w:w="4251" w:type="pct"/>
          </w:tcPr>
          <w:p w14:paraId="673CA38F" w14:textId="1A9167C9" w:rsidR="0019311D" w:rsidRPr="0009215B" w:rsidRDefault="0019311D" w:rsidP="0057683A">
            <w:pPr>
              <w:pStyle w:val="ListParagraph"/>
              <w:numPr>
                <w:ilvl w:val="0"/>
                <w:numId w:val="1"/>
              </w:numPr>
              <w:spacing w:before="100" w:beforeAutospacing="1" w:after="100" w:afterAutospacing="1"/>
              <w:rPr>
                <w:rFonts w:cs="Arial"/>
                <w:lang w:val="en-US"/>
              </w:rPr>
            </w:pPr>
            <w:r w:rsidRPr="0009215B">
              <w:rPr>
                <w:rFonts w:cs="Arial"/>
                <w:lang w:val="en-US"/>
              </w:rPr>
              <w:t>CIHR provides funding opportunities for four themes of health research: biomedical, clinical, health systems services, and social, cultural, environmental and population health.</w:t>
            </w:r>
          </w:p>
          <w:p w14:paraId="13EC87A4" w14:textId="77777777" w:rsidR="0057683A" w:rsidRPr="0009215B" w:rsidRDefault="0057683A" w:rsidP="0057683A">
            <w:pPr>
              <w:pStyle w:val="ListParagraph"/>
              <w:numPr>
                <w:ilvl w:val="0"/>
                <w:numId w:val="1"/>
              </w:numPr>
              <w:rPr>
                <w:rFonts w:cs="Arial"/>
                <w:lang w:val="en-US"/>
              </w:rPr>
            </w:pPr>
            <w:r w:rsidRPr="0009215B">
              <w:rPr>
                <w:rFonts w:cs="Arial"/>
                <w:lang w:val="en-US"/>
              </w:rPr>
              <w:t xml:space="preserve">Residual balance must be returned and </w:t>
            </w:r>
            <w:proofErr w:type="spellStart"/>
            <w:r w:rsidRPr="0009215B">
              <w:rPr>
                <w:rFonts w:cs="Arial"/>
                <w:lang w:val="en-US"/>
              </w:rPr>
              <w:t>cheque</w:t>
            </w:r>
            <w:proofErr w:type="spellEnd"/>
            <w:r w:rsidRPr="0009215B">
              <w:rPr>
                <w:rFonts w:cs="Arial"/>
                <w:lang w:val="en-US"/>
              </w:rPr>
              <w:t xml:space="preserve"> must accompany a signed Form 300; cannot be transferred.</w:t>
            </w:r>
          </w:p>
          <w:p w14:paraId="0E3663F7" w14:textId="7E746BA9" w:rsidR="00220C4B" w:rsidRPr="0009215B" w:rsidRDefault="00220C4B" w:rsidP="0019311D">
            <w:pPr>
              <w:pStyle w:val="ListParagraph"/>
              <w:numPr>
                <w:ilvl w:val="0"/>
                <w:numId w:val="1"/>
              </w:numPr>
              <w:rPr>
                <w:rFonts w:cs="Arial"/>
                <w:lang w:val="en-US"/>
              </w:rPr>
            </w:pPr>
            <w:r w:rsidRPr="0009215B">
              <w:rPr>
                <w:rFonts w:cs="Arial"/>
                <w:lang w:val="en-US"/>
              </w:rPr>
              <w:t>May request additional extension (1 year)</w:t>
            </w:r>
            <w:r w:rsidR="003919AD" w:rsidRPr="0009215B">
              <w:rPr>
                <w:rFonts w:cs="Arial"/>
                <w:lang w:val="en-US"/>
              </w:rPr>
              <w:t xml:space="preserve"> beyond the automatic extension</w:t>
            </w:r>
            <w:r w:rsidR="009328E8" w:rsidRPr="0009215B">
              <w:rPr>
                <w:rFonts w:cs="Arial"/>
                <w:lang w:val="en-US"/>
              </w:rPr>
              <w:t xml:space="preserve"> period</w:t>
            </w:r>
            <w:r w:rsidR="003919AD" w:rsidRPr="0009215B">
              <w:rPr>
                <w:rFonts w:cs="Arial"/>
                <w:lang w:val="en-US"/>
              </w:rPr>
              <w:t>.</w:t>
            </w:r>
          </w:p>
          <w:p w14:paraId="6D027671" w14:textId="77777777" w:rsidR="00D23A05" w:rsidRPr="0009215B" w:rsidRDefault="00D23A05" w:rsidP="00D23A05">
            <w:pPr>
              <w:pStyle w:val="ListParagraph"/>
              <w:numPr>
                <w:ilvl w:val="0"/>
                <w:numId w:val="1"/>
              </w:numPr>
              <w:rPr>
                <w:rFonts w:cs="Arial"/>
                <w:lang w:val="en-US"/>
              </w:rPr>
            </w:pPr>
            <w:r w:rsidRPr="0009215B">
              <w:rPr>
                <w:rFonts w:cs="Arial"/>
                <w:lang w:val="en-US"/>
              </w:rPr>
              <w:t>Detailed budget set up needed for expenditures – as proposed in original budget.</w:t>
            </w:r>
          </w:p>
          <w:p w14:paraId="7159BA6B" w14:textId="56EA5845" w:rsidR="00BA2AE9" w:rsidRPr="0009215B" w:rsidRDefault="00BA2AE9" w:rsidP="0019311D">
            <w:pPr>
              <w:pStyle w:val="ListParagraph"/>
              <w:numPr>
                <w:ilvl w:val="0"/>
                <w:numId w:val="1"/>
              </w:numPr>
              <w:rPr>
                <w:rFonts w:cs="Arial"/>
                <w:lang w:val="en-US"/>
              </w:rPr>
            </w:pPr>
            <w:r w:rsidRPr="0009215B">
              <w:rPr>
                <w:rFonts w:cs="Arial"/>
                <w:lang w:val="en-US"/>
              </w:rPr>
              <w:t xml:space="preserve">For equipment: </w:t>
            </w:r>
            <w:r w:rsidR="005552D6" w:rsidRPr="0009215B">
              <w:rPr>
                <w:rFonts w:cs="Arial"/>
                <w:lang w:val="en-US"/>
              </w:rPr>
              <w:t>a</w:t>
            </w:r>
            <w:r w:rsidRPr="0009215B">
              <w:rPr>
                <w:rFonts w:cs="Arial"/>
              </w:rPr>
              <w:t xml:space="preserve"> cost quotation must be provided for equipment or service contracts greater than $10,000. Two competitive quotes as well as letters from an appropriate institutional official documenting the availability and status of similar equipment are required for items costing more than $25,000.</w:t>
            </w:r>
          </w:p>
          <w:p w14:paraId="0CBC7A8A" w14:textId="4478CC8F" w:rsidR="00E5757D" w:rsidRPr="0009215B" w:rsidRDefault="00E5757D" w:rsidP="00D82163">
            <w:pPr>
              <w:pStyle w:val="ListParagraph"/>
              <w:numPr>
                <w:ilvl w:val="0"/>
                <w:numId w:val="1"/>
              </w:numPr>
              <w:rPr>
                <w:rFonts w:cs="Arial"/>
                <w:lang w:val="en-US"/>
              </w:rPr>
            </w:pPr>
            <w:r w:rsidRPr="0009215B">
              <w:rPr>
                <w:rFonts w:cs="Arial"/>
                <w:lang w:val="en-US"/>
              </w:rPr>
              <w:t xml:space="preserve">Financial Reporting: </w:t>
            </w:r>
            <w:r w:rsidR="00D82163" w:rsidRPr="0009215B">
              <w:rPr>
                <w:rFonts w:cs="Arial"/>
                <w:lang w:val="en-US"/>
              </w:rPr>
              <w:t>A</w:t>
            </w:r>
            <w:r w:rsidRPr="0009215B">
              <w:rPr>
                <w:rFonts w:cs="Arial"/>
                <w:lang w:val="en-US"/>
              </w:rPr>
              <w:t>nnual Statement of Account (Form 300) due June 30th.</w:t>
            </w:r>
          </w:p>
        </w:tc>
      </w:tr>
    </w:tbl>
    <w:p w14:paraId="153FAA4A" w14:textId="77777777" w:rsidR="00F85329" w:rsidRPr="0009215B" w:rsidRDefault="00F85329" w:rsidP="00F85329">
      <w:pPr>
        <w:spacing w:after="120"/>
        <w:rPr>
          <w:rFonts w:ascii="Arial Rounded MT Bold" w:hAnsi="Arial Rounded MT Bold"/>
          <w:color w:val="1F4E79" w:themeColor="accent1" w:themeShade="80"/>
          <w:lang w:val="en-US"/>
        </w:rPr>
      </w:pPr>
    </w:p>
    <w:p w14:paraId="46748EAE" w14:textId="2E5D671A" w:rsidR="00F85329" w:rsidRPr="0009215B" w:rsidRDefault="00D047E6" w:rsidP="00A03584">
      <w:pPr>
        <w:spacing w:after="120" w:line="240" w:lineRule="auto"/>
        <w:rPr>
          <w:rFonts w:ascii="Arial Rounded MT Bold" w:hAnsi="Arial Rounded MT Bold"/>
          <w:color w:val="1F4E79" w:themeColor="accent1" w:themeShade="80"/>
          <w:lang w:val="en-US"/>
        </w:rPr>
      </w:pPr>
      <w:hyperlink r:id="rId15" w:history="1">
        <w:r w:rsidR="00F85329" w:rsidRPr="0009215B">
          <w:rPr>
            <w:rStyle w:val="Hyperlink"/>
            <w:rFonts w:ascii="Arial Rounded MT Bold" w:hAnsi="Arial Rounded MT Bold"/>
            <w:lang w:val="en-US"/>
          </w:rPr>
          <w:t>C</w:t>
        </w:r>
        <w:r w:rsidR="00000341" w:rsidRPr="0009215B">
          <w:rPr>
            <w:rStyle w:val="Hyperlink"/>
            <w:rFonts w:ascii="Arial Rounded MT Bold" w:hAnsi="Arial Rounded MT Bold"/>
            <w:lang w:val="en-US"/>
          </w:rPr>
          <w:t xml:space="preserve">anada </w:t>
        </w:r>
        <w:r w:rsidR="00F85329" w:rsidRPr="0009215B">
          <w:rPr>
            <w:rStyle w:val="Hyperlink"/>
            <w:rFonts w:ascii="Arial Rounded MT Bold" w:hAnsi="Arial Rounded MT Bold"/>
            <w:lang w:val="en-US"/>
          </w:rPr>
          <w:t>R</w:t>
        </w:r>
        <w:r w:rsidR="00000341" w:rsidRPr="0009215B">
          <w:rPr>
            <w:rStyle w:val="Hyperlink"/>
            <w:rFonts w:ascii="Arial Rounded MT Bold" w:hAnsi="Arial Rounded MT Bold"/>
            <w:lang w:val="en-US"/>
          </w:rPr>
          <w:t xml:space="preserve">esearch </w:t>
        </w:r>
        <w:r w:rsidR="00F85329" w:rsidRPr="0009215B">
          <w:rPr>
            <w:rStyle w:val="Hyperlink"/>
            <w:rFonts w:ascii="Arial Rounded MT Bold" w:hAnsi="Arial Rounded MT Bold"/>
            <w:lang w:val="en-US"/>
          </w:rPr>
          <w:t>C</w:t>
        </w:r>
        <w:r w:rsidR="00000341" w:rsidRPr="0009215B">
          <w:rPr>
            <w:rStyle w:val="Hyperlink"/>
            <w:rFonts w:ascii="Arial Rounded MT Bold" w:hAnsi="Arial Rounded MT Bold"/>
            <w:lang w:val="en-US"/>
          </w:rPr>
          <w:t>hair</w:t>
        </w:r>
        <w:r w:rsidR="00F85329" w:rsidRPr="0009215B">
          <w:rPr>
            <w:rStyle w:val="Hyperlink"/>
            <w:rFonts w:ascii="Arial Rounded MT Bold" w:hAnsi="Arial Rounded MT Bold"/>
            <w:lang w:val="en-US"/>
          </w:rPr>
          <w:t xml:space="preserve"> </w:t>
        </w:r>
        <w:r w:rsidR="00250BD2" w:rsidRPr="0009215B">
          <w:rPr>
            <w:rStyle w:val="Hyperlink"/>
            <w:rFonts w:ascii="Arial Rounded MT Bold" w:hAnsi="Arial Rounded MT Bold"/>
            <w:lang w:val="en-US"/>
          </w:rPr>
          <w:t>(</w:t>
        </w:r>
        <w:r w:rsidR="00000341" w:rsidRPr="0009215B">
          <w:rPr>
            <w:rStyle w:val="Hyperlink"/>
            <w:rFonts w:ascii="Arial Rounded MT Bold" w:hAnsi="Arial Rounded MT Bold"/>
            <w:lang w:val="en-US"/>
          </w:rPr>
          <w:t>CRC</w:t>
        </w:r>
        <w:r w:rsidR="00250BD2" w:rsidRPr="0009215B">
          <w:rPr>
            <w:rStyle w:val="Hyperlink"/>
            <w:rFonts w:ascii="Arial Rounded MT Bold" w:hAnsi="Arial Rounded MT Bold"/>
            <w:lang w:val="en-US"/>
          </w:rPr>
          <w:t>)</w:t>
        </w:r>
      </w:hyperlink>
    </w:p>
    <w:tbl>
      <w:tblPr>
        <w:tblStyle w:val="TableGrid"/>
        <w:tblW w:w="0" w:type="auto"/>
        <w:tblLook w:val="04A0" w:firstRow="1" w:lastRow="0" w:firstColumn="1" w:lastColumn="0" w:noHBand="0" w:noVBand="1"/>
      </w:tblPr>
      <w:tblGrid>
        <w:gridCol w:w="2155"/>
        <w:gridCol w:w="12235"/>
      </w:tblGrid>
      <w:tr w:rsidR="00BA2AE9" w:rsidRPr="0009215B" w14:paraId="2A2D8FB0" w14:textId="77777777" w:rsidTr="00E828E4">
        <w:tc>
          <w:tcPr>
            <w:tcW w:w="2155" w:type="dxa"/>
            <w:shd w:val="clear" w:color="auto" w:fill="2F5496" w:themeFill="accent5" w:themeFillShade="BF"/>
          </w:tcPr>
          <w:p w14:paraId="00929317" w14:textId="77777777" w:rsidR="00BA2AE9" w:rsidRPr="0009215B" w:rsidRDefault="00BA2AE9" w:rsidP="007F6EC0">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Typical Amount and Duration</w:t>
            </w:r>
          </w:p>
        </w:tc>
        <w:tc>
          <w:tcPr>
            <w:tcW w:w="12235" w:type="dxa"/>
            <w:shd w:val="clear" w:color="auto" w:fill="2F5496" w:themeFill="accent5" w:themeFillShade="BF"/>
          </w:tcPr>
          <w:p w14:paraId="12217FB9" w14:textId="79035EBD" w:rsidR="00BA2AE9" w:rsidRPr="0009215B" w:rsidRDefault="00615385" w:rsidP="0086239E">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Financial Characteristics</w:t>
            </w:r>
          </w:p>
        </w:tc>
      </w:tr>
      <w:tr w:rsidR="00BA2AE9" w:rsidRPr="0009215B" w14:paraId="07CE69CE" w14:textId="77777777" w:rsidTr="00E828E4">
        <w:tc>
          <w:tcPr>
            <w:tcW w:w="2155" w:type="dxa"/>
          </w:tcPr>
          <w:p w14:paraId="30EE09C0" w14:textId="53531B4B" w:rsidR="00BA2AE9" w:rsidRPr="0009215B" w:rsidRDefault="00BA2AE9" w:rsidP="0086239E">
            <w:pPr>
              <w:pStyle w:val="ListParagraph"/>
              <w:numPr>
                <w:ilvl w:val="0"/>
                <w:numId w:val="1"/>
              </w:numPr>
              <w:rPr>
                <w:rFonts w:cs="Arial"/>
                <w:lang w:val="en-US"/>
              </w:rPr>
            </w:pPr>
            <w:r w:rsidRPr="0009215B">
              <w:rPr>
                <w:rFonts w:cs="Arial"/>
                <w:lang w:val="en-US"/>
              </w:rPr>
              <w:t xml:space="preserve">Tier 1: $200,000 annually for </w:t>
            </w:r>
            <w:r w:rsidR="009328E8" w:rsidRPr="0009215B">
              <w:rPr>
                <w:rFonts w:cs="Arial"/>
                <w:lang w:val="en-US"/>
              </w:rPr>
              <w:t xml:space="preserve">term of </w:t>
            </w:r>
            <w:r w:rsidRPr="0009215B">
              <w:rPr>
                <w:rFonts w:cs="Arial"/>
                <w:lang w:val="en-US"/>
              </w:rPr>
              <w:t>7 years</w:t>
            </w:r>
          </w:p>
          <w:p w14:paraId="36F8CC6D" w14:textId="364AF17A" w:rsidR="00BA2AE9" w:rsidRPr="0009215B" w:rsidRDefault="00BA2AE9" w:rsidP="0086239E">
            <w:pPr>
              <w:pStyle w:val="ListParagraph"/>
              <w:numPr>
                <w:ilvl w:val="0"/>
                <w:numId w:val="1"/>
              </w:numPr>
              <w:rPr>
                <w:rFonts w:cs="Arial"/>
                <w:lang w:val="en-US"/>
              </w:rPr>
            </w:pPr>
            <w:r w:rsidRPr="0009215B">
              <w:rPr>
                <w:rFonts w:cs="Arial"/>
                <w:lang w:val="en-US"/>
              </w:rPr>
              <w:t>Tier 2: $100,000 annually for</w:t>
            </w:r>
            <w:r w:rsidR="009328E8" w:rsidRPr="0009215B">
              <w:rPr>
                <w:rFonts w:cs="Arial"/>
                <w:lang w:val="en-US"/>
              </w:rPr>
              <w:t xml:space="preserve"> term of</w:t>
            </w:r>
            <w:r w:rsidRPr="0009215B">
              <w:rPr>
                <w:rFonts w:cs="Arial"/>
                <w:lang w:val="en-US"/>
              </w:rPr>
              <w:t xml:space="preserve"> 5 years</w:t>
            </w:r>
          </w:p>
        </w:tc>
        <w:tc>
          <w:tcPr>
            <w:tcW w:w="12235" w:type="dxa"/>
          </w:tcPr>
          <w:p w14:paraId="6AFBA923" w14:textId="54BA5187" w:rsidR="006E6BDA" w:rsidRPr="0009215B" w:rsidRDefault="006E6BDA" w:rsidP="00250BD2">
            <w:pPr>
              <w:pStyle w:val="ListParagraph"/>
              <w:numPr>
                <w:ilvl w:val="0"/>
                <w:numId w:val="1"/>
              </w:numPr>
              <w:rPr>
                <w:rFonts w:cs="Arial"/>
              </w:rPr>
            </w:pPr>
            <w:r w:rsidRPr="0009215B">
              <w:rPr>
                <w:rFonts w:cs="Arial"/>
              </w:rPr>
              <w:t xml:space="preserve">The Canada Research Chairs Program (CRC) stands at the centre of a national strategy to make Canada one of the world's top countries in research and development. </w:t>
            </w:r>
            <w:proofErr w:type="spellStart"/>
            <w:r w:rsidRPr="0009215B">
              <w:rPr>
                <w:rFonts w:cs="Arial"/>
              </w:rPr>
              <w:t>Chairholders</w:t>
            </w:r>
            <w:proofErr w:type="spellEnd"/>
            <w:r w:rsidRPr="0009215B">
              <w:rPr>
                <w:rFonts w:cs="Arial"/>
              </w:rPr>
              <w:t xml:space="preserve"> aim to achieve research excellence </w:t>
            </w:r>
            <w:r w:rsidR="009328E8" w:rsidRPr="0009215B">
              <w:rPr>
                <w:rFonts w:cs="Arial"/>
              </w:rPr>
              <w:t xml:space="preserve">and </w:t>
            </w:r>
            <w:r w:rsidRPr="0009215B">
              <w:rPr>
                <w:rFonts w:cs="Arial"/>
              </w:rPr>
              <w:t>improve our depth of knowledge and quality of life, strengthen Canada's international competitiveness, and help train the next generation of highly skilled people through student supervision, teaching, and the coordination of other researchers' work.</w:t>
            </w:r>
          </w:p>
          <w:p w14:paraId="40741709" w14:textId="32BE95E2" w:rsidR="005817E4" w:rsidRPr="0009215B" w:rsidRDefault="005817E4" w:rsidP="005817E4">
            <w:pPr>
              <w:pStyle w:val="ListParagraph"/>
              <w:numPr>
                <w:ilvl w:val="0"/>
                <w:numId w:val="1"/>
              </w:numPr>
              <w:rPr>
                <w:rFonts w:cs="Arial"/>
              </w:rPr>
            </w:pPr>
            <w:r w:rsidRPr="0009215B">
              <w:rPr>
                <w:rFonts w:cs="Arial"/>
              </w:rPr>
              <w:t xml:space="preserve">Tier 1 – </w:t>
            </w:r>
            <w:r w:rsidR="008F1DFD" w:rsidRPr="0009215B">
              <w:rPr>
                <w:rFonts w:cs="Arial"/>
              </w:rPr>
              <w:t xml:space="preserve">can be </w:t>
            </w:r>
            <w:r w:rsidRPr="0009215B">
              <w:rPr>
                <w:rFonts w:cs="Arial"/>
              </w:rPr>
              <w:t>renew</w:t>
            </w:r>
            <w:r w:rsidR="008F1DFD" w:rsidRPr="0009215B">
              <w:rPr>
                <w:rFonts w:cs="Arial"/>
              </w:rPr>
              <w:t>ed indefinitely</w:t>
            </w:r>
            <w:r w:rsidR="0003242C" w:rsidRPr="0009215B">
              <w:rPr>
                <w:rFonts w:cs="Arial"/>
              </w:rPr>
              <w:t>.</w:t>
            </w:r>
          </w:p>
          <w:p w14:paraId="1A40C775" w14:textId="7A9F38C1" w:rsidR="0086239E" w:rsidRPr="0009215B" w:rsidRDefault="0086239E" w:rsidP="00250BD2">
            <w:pPr>
              <w:pStyle w:val="ListParagraph"/>
              <w:numPr>
                <w:ilvl w:val="0"/>
                <w:numId w:val="1"/>
              </w:numPr>
              <w:rPr>
                <w:rFonts w:cs="Arial"/>
              </w:rPr>
            </w:pPr>
            <w:r w:rsidRPr="0009215B">
              <w:rPr>
                <w:rFonts w:cs="Arial"/>
              </w:rPr>
              <w:t xml:space="preserve">Tier 2 – renewable </w:t>
            </w:r>
            <w:r w:rsidR="00EB2A53" w:rsidRPr="0009215B">
              <w:rPr>
                <w:rFonts w:cs="Arial"/>
              </w:rPr>
              <w:t xml:space="preserve">only </w:t>
            </w:r>
            <w:r w:rsidRPr="0009215B">
              <w:rPr>
                <w:rFonts w:cs="Arial"/>
              </w:rPr>
              <w:t>once</w:t>
            </w:r>
            <w:r w:rsidR="0003242C" w:rsidRPr="0009215B">
              <w:rPr>
                <w:rFonts w:cs="Arial"/>
              </w:rPr>
              <w:t>.</w:t>
            </w:r>
          </w:p>
          <w:p w14:paraId="31BFFEE3" w14:textId="1149674F" w:rsidR="0086239E" w:rsidRPr="0009215B" w:rsidRDefault="00BA2AE9" w:rsidP="00250BD2">
            <w:pPr>
              <w:pStyle w:val="ListParagraph"/>
              <w:numPr>
                <w:ilvl w:val="0"/>
                <w:numId w:val="1"/>
              </w:numPr>
              <w:rPr>
                <w:rFonts w:cs="Arial"/>
              </w:rPr>
            </w:pPr>
            <w:r w:rsidRPr="0009215B">
              <w:rPr>
                <w:rFonts w:cs="Arial"/>
              </w:rPr>
              <w:t>Unused funds from original CRC can be t</w:t>
            </w:r>
            <w:r w:rsidR="003217C6" w:rsidRPr="0009215B">
              <w:rPr>
                <w:rFonts w:cs="Arial"/>
              </w:rPr>
              <w:t>ransferred</w:t>
            </w:r>
            <w:r w:rsidRPr="0009215B">
              <w:rPr>
                <w:rFonts w:cs="Arial"/>
              </w:rPr>
              <w:t xml:space="preserve"> to</w:t>
            </w:r>
            <w:r w:rsidR="003217C6" w:rsidRPr="0009215B">
              <w:rPr>
                <w:rFonts w:cs="Arial"/>
              </w:rPr>
              <w:t xml:space="preserve"> a</w:t>
            </w:r>
            <w:r w:rsidRPr="0009215B">
              <w:rPr>
                <w:rFonts w:cs="Arial"/>
              </w:rPr>
              <w:t xml:space="preserve"> renew</w:t>
            </w:r>
            <w:r w:rsidR="00A30CA7" w:rsidRPr="0009215B">
              <w:rPr>
                <w:rFonts w:cs="Arial"/>
              </w:rPr>
              <w:t>al.</w:t>
            </w:r>
          </w:p>
          <w:p w14:paraId="4A7D8D93" w14:textId="48C9E9EE" w:rsidR="00413E9A" w:rsidRPr="0009215B" w:rsidRDefault="00413E9A" w:rsidP="00413E9A">
            <w:pPr>
              <w:pStyle w:val="ListParagraph"/>
              <w:numPr>
                <w:ilvl w:val="0"/>
                <w:numId w:val="1"/>
              </w:numPr>
              <w:rPr>
                <w:rFonts w:cs="Arial"/>
                <w:lang w:val="en-US"/>
              </w:rPr>
            </w:pPr>
            <w:r w:rsidRPr="0009215B">
              <w:rPr>
                <w:rFonts w:cs="Arial"/>
                <w:lang w:val="en-US"/>
              </w:rPr>
              <w:t xml:space="preserve">Flexible on budget allocation – the funder will not hold the researcher to budget in a strict sense as long as the </w:t>
            </w:r>
            <w:r w:rsidR="002F6843" w:rsidRPr="0009215B">
              <w:rPr>
                <w:rFonts w:cs="Arial"/>
                <w:lang w:val="en-US"/>
              </w:rPr>
              <w:t>grant</w:t>
            </w:r>
            <w:r w:rsidRPr="0009215B">
              <w:rPr>
                <w:rFonts w:cs="Arial"/>
                <w:lang w:val="en-US"/>
              </w:rPr>
              <w:t xml:space="preserve"> is used for the broad purpose for which it was originally awarded.</w:t>
            </w:r>
          </w:p>
          <w:p w14:paraId="01C7403D" w14:textId="5E18F428" w:rsidR="0086239E" w:rsidRPr="0009215B" w:rsidRDefault="00E7258D" w:rsidP="0086239E">
            <w:pPr>
              <w:pStyle w:val="ListParagraph"/>
              <w:numPr>
                <w:ilvl w:val="0"/>
                <w:numId w:val="1"/>
              </w:numPr>
              <w:rPr>
                <w:rFonts w:cs="Arial"/>
                <w:lang w:val="en-US"/>
              </w:rPr>
            </w:pPr>
            <w:r w:rsidRPr="0009215B">
              <w:rPr>
                <w:rFonts w:cs="Arial"/>
              </w:rPr>
              <w:t xml:space="preserve">UOIT policy for </w:t>
            </w:r>
            <w:r w:rsidR="00C76BE6" w:rsidRPr="0009215B">
              <w:rPr>
                <w:rFonts w:cs="Arial"/>
              </w:rPr>
              <w:t xml:space="preserve">CRCs </w:t>
            </w:r>
            <w:r w:rsidR="001F463E" w:rsidRPr="0009215B">
              <w:rPr>
                <w:rFonts w:cs="Arial"/>
              </w:rPr>
              <w:t>provide a</w:t>
            </w:r>
            <w:r w:rsidR="00BA2AE9" w:rsidRPr="0009215B">
              <w:rPr>
                <w:rFonts w:cs="Arial"/>
              </w:rPr>
              <w:t xml:space="preserve"> stipend</w:t>
            </w:r>
            <w:r w:rsidR="001F463E" w:rsidRPr="0009215B">
              <w:rPr>
                <w:rFonts w:cs="Arial"/>
              </w:rPr>
              <w:t xml:space="preserve"> for the holder</w:t>
            </w:r>
            <w:r w:rsidR="00BA2AE9" w:rsidRPr="0009215B">
              <w:rPr>
                <w:rFonts w:cs="Arial"/>
              </w:rPr>
              <w:t xml:space="preserve">, </w:t>
            </w:r>
            <w:r w:rsidR="0086239E" w:rsidRPr="0009215B">
              <w:rPr>
                <w:rFonts w:cs="Arial"/>
              </w:rPr>
              <w:t>overhead recovery</w:t>
            </w:r>
            <w:r w:rsidR="001F463E" w:rsidRPr="0009215B">
              <w:rPr>
                <w:rFonts w:cs="Arial"/>
              </w:rPr>
              <w:t xml:space="preserve"> to UOIT</w:t>
            </w:r>
            <w:r w:rsidR="0086239E" w:rsidRPr="0009215B">
              <w:rPr>
                <w:rFonts w:cs="Arial"/>
              </w:rPr>
              <w:t xml:space="preserve">, and </w:t>
            </w:r>
            <w:r w:rsidR="001F463E" w:rsidRPr="0009215B">
              <w:rPr>
                <w:rFonts w:cs="Arial"/>
              </w:rPr>
              <w:t xml:space="preserve">a </w:t>
            </w:r>
            <w:r w:rsidR="0086239E" w:rsidRPr="0009215B">
              <w:rPr>
                <w:rFonts w:cs="Arial"/>
              </w:rPr>
              <w:t>teaching release</w:t>
            </w:r>
            <w:r w:rsidR="003217C6" w:rsidRPr="0009215B">
              <w:rPr>
                <w:rFonts w:cs="Arial"/>
              </w:rPr>
              <w:t>.</w:t>
            </w:r>
            <w:r w:rsidR="00A55E3E" w:rsidRPr="0009215B">
              <w:rPr>
                <w:rFonts w:cs="Arial"/>
              </w:rPr>
              <w:t xml:space="preserve"> </w:t>
            </w:r>
          </w:p>
          <w:p w14:paraId="2928CA07" w14:textId="77777777" w:rsidR="00BA2AE9" w:rsidRPr="0009215B" w:rsidRDefault="00BA2AE9" w:rsidP="00A321B5">
            <w:pPr>
              <w:pStyle w:val="ListParagraph"/>
              <w:numPr>
                <w:ilvl w:val="0"/>
                <w:numId w:val="1"/>
              </w:numPr>
              <w:rPr>
                <w:rFonts w:cs="Arial"/>
                <w:lang w:val="en-US"/>
              </w:rPr>
            </w:pPr>
            <w:r w:rsidRPr="0009215B">
              <w:rPr>
                <w:rFonts w:cs="Arial"/>
                <w:lang w:val="en-US"/>
              </w:rPr>
              <w:t>Unspent balance</w:t>
            </w:r>
            <w:r w:rsidR="00A321B5" w:rsidRPr="0009215B">
              <w:rPr>
                <w:rFonts w:cs="Arial"/>
                <w:lang w:val="en-US"/>
              </w:rPr>
              <w:t>s must be returned to the Receiver General.</w:t>
            </w:r>
          </w:p>
          <w:p w14:paraId="4C417FBE" w14:textId="0FB70A21" w:rsidR="001F463E" w:rsidRPr="0009215B" w:rsidRDefault="001F463E" w:rsidP="00A73891">
            <w:pPr>
              <w:pStyle w:val="ListParagraph"/>
              <w:numPr>
                <w:ilvl w:val="0"/>
                <w:numId w:val="1"/>
              </w:numPr>
              <w:rPr>
                <w:rFonts w:cs="Arial"/>
                <w:lang w:val="en-US"/>
              </w:rPr>
            </w:pPr>
            <w:r w:rsidRPr="0009215B">
              <w:rPr>
                <w:rFonts w:cs="Arial"/>
                <w:lang w:val="en-US"/>
              </w:rPr>
              <w:t xml:space="preserve">Financial Reporting: </w:t>
            </w:r>
            <w:r w:rsidR="00A73891" w:rsidRPr="0009215B">
              <w:rPr>
                <w:rFonts w:cs="Arial"/>
                <w:lang w:val="en-US"/>
              </w:rPr>
              <w:t>A</w:t>
            </w:r>
            <w:r w:rsidRPr="0009215B">
              <w:rPr>
                <w:rFonts w:cs="Arial"/>
                <w:lang w:val="en-US"/>
              </w:rPr>
              <w:t>nnual Statement of Account (Form 300) due June 30th.</w:t>
            </w:r>
          </w:p>
        </w:tc>
      </w:tr>
    </w:tbl>
    <w:p w14:paraId="4A8DA7FF" w14:textId="77777777" w:rsidR="00A03584" w:rsidRPr="0009215B" w:rsidRDefault="00A03584" w:rsidP="00F85329">
      <w:pPr>
        <w:spacing w:after="120"/>
        <w:rPr>
          <w:rFonts w:ascii="Arial Rounded MT Bold" w:hAnsi="Arial Rounded MT Bold"/>
          <w:color w:val="1F4E79" w:themeColor="accent1" w:themeShade="80"/>
          <w:lang w:val="en-US"/>
        </w:rPr>
      </w:pPr>
    </w:p>
    <w:p w14:paraId="1E049E68" w14:textId="77777777" w:rsidR="0009215B" w:rsidRPr="0009215B" w:rsidRDefault="0009215B" w:rsidP="00F85329">
      <w:pPr>
        <w:spacing w:after="120"/>
        <w:rPr>
          <w:rFonts w:ascii="Arial Rounded MT Bold" w:hAnsi="Arial Rounded MT Bold"/>
          <w:color w:val="1F4E79" w:themeColor="accent1" w:themeShade="80"/>
          <w:lang w:val="en-US"/>
        </w:rPr>
      </w:pPr>
    </w:p>
    <w:p w14:paraId="323DB40E" w14:textId="77777777" w:rsidR="0009215B" w:rsidRPr="0009215B" w:rsidRDefault="0009215B" w:rsidP="00F85329">
      <w:pPr>
        <w:spacing w:after="120"/>
        <w:rPr>
          <w:rFonts w:ascii="Arial Rounded MT Bold" w:hAnsi="Arial Rounded MT Bold"/>
          <w:color w:val="1F4E79" w:themeColor="accent1" w:themeShade="80"/>
          <w:lang w:val="en-US"/>
        </w:rPr>
      </w:pPr>
    </w:p>
    <w:p w14:paraId="04314060" w14:textId="77777777" w:rsidR="0009215B" w:rsidRPr="0009215B" w:rsidRDefault="0009215B" w:rsidP="00F85329">
      <w:pPr>
        <w:spacing w:after="120"/>
        <w:rPr>
          <w:rFonts w:ascii="Arial Rounded MT Bold" w:hAnsi="Arial Rounded MT Bold"/>
          <w:color w:val="1F4E79" w:themeColor="accent1" w:themeShade="80"/>
          <w:lang w:val="en-US"/>
        </w:rPr>
      </w:pPr>
    </w:p>
    <w:p w14:paraId="78953667" w14:textId="77777777" w:rsidR="0009215B" w:rsidRPr="0009215B" w:rsidRDefault="0009215B" w:rsidP="00F85329">
      <w:pPr>
        <w:spacing w:after="120"/>
        <w:rPr>
          <w:rFonts w:ascii="Arial Rounded MT Bold" w:hAnsi="Arial Rounded MT Bold"/>
          <w:color w:val="1F4E79" w:themeColor="accent1" w:themeShade="80"/>
          <w:lang w:val="en-US"/>
        </w:rPr>
      </w:pPr>
    </w:p>
    <w:p w14:paraId="66F34AAA" w14:textId="5B623701" w:rsidR="00F85329" w:rsidRPr="0009215B" w:rsidRDefault="00D047E6" w:rsidP="00ED1FB8">
      <w:pPr>
        <w:spacing w:before="120" w:after="120" w:line="240" w:lineRule="auto"/>
        <w:rPr>
          <w:rFonts w:ascii="Arial Rounded MT Bold" w:hAnsi="Arial Rounded MT Bold"/>
          <w:color w:val="1F4E79" w:themeColor="accent1" w:themeShade="80"/>
          <w:lang w:val="en-US"/>
        </w:rPr>
      </w:pPr>
      <w:hyperlink r:id="rId16" w:history="1">
        <w:r w:rsidR="007C75BB" w:rsidRPr="0009215B">
          <w:rPr>
            <w:rStyle w:val="Hyperlink"/>
            <w:rFonts w:ascii="Arial Rounded MT Bold" w:hAnsi="Arial Rounded MT Bold"/>
            <w:lang w:val="en-US"/>
          </w:rPr>
          <w:t>Canada Foundation for Innovation (C</w:t>
        </w:r>
        <w:r w:rsidR="00F85329" w:rsidRPr="0009215B">
          <w:rPr>
            <w:rStyle w:val="Hyperlink"/>
            <w:rFonts w:ascii="Arial Rounded MT Bold" w:hAnsi="Arial Rounded MT Bold"/>
            <w:lang w:val="en-US"/>
          </w:rPr>
          <w:t>FI</w:t>
        </w:r>
      </w:hyperlink>
      <w:r w:rsidR="007C75BB" w:rsidRPr="0009215B">
        <w:rPr>
          <w:rStyle w:val="Hyperlink"/>
          <w:rFonts w:ascii="Arial Rounded MT Bold" w:hAnsi="Arial Rounded MT Bold"/>
          <w:lang w:val="en-US"/>
        </w:rPr>
        <w:t>)</w:t>
      </w:r>
    </w:p>
    <w:tbl>
      <w:tblPr>
        <w:tblStyle w:val="TableGrid"/>
        <w:tblW w:w="0" w:type="auto"/>
        <w:tblLook w:val="04A0" w:firstRow="1" w:lastRow="0" w:firstColumn="1" w:lastColumn="0" w:noHBand="0" w:noVBand="1"/>
      </w:tblPr>
      <w:tblGrid>
        <w:gridCol w:w="2155"/>
        <w:gridCol w:w="12235"/>
      </w:tblGrid>
      <w:tr w:rsidR="0045669E" w:rsidRPr="0009215B" w14:paraId="74BDD6F6" w14:textId="77777777" w:rsidTr="00E828E4">
        <w:tc>
          <w:tcPr>
            <w:tcW w:w="2155" w:type="dxa"/>
            <w:shd w:val="clear" w:color="auto" w:fill="2F5496" w:themeFill="accent5" w:themeFillShade="BF"/>
          </w:tcPr>
          <w:p w14:paraId="1E8441F6" w14:textId="77777777" w:rsidR="0045669E" w:rsidRPr="0009215B" w:rsidRDefault="0045669E" w:rsidP="007F6EC0">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Typical Amount and Duration</w:t>
            </w:r>
          </w:p>
        </w:tc>
        <w:tc>
          <w:tcPr>
            <w:tcW w:w="12235" w:type="dxa"/>
            <w:shd w:val="clear" w:color="auto" w:fill="2F5496" w:themeFill="accent5" w:themeFillShade="BF"/>
          </w:tcPr>
          <w:p w14:paraId="52E34AEA" w14:textId="65F9327B" w:rsidR="0045669E" w:rsidRPr="0009215B" w:rsidRDefault="00615385" w:rsidP="0086239E">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Financial Characteristics</w:t>
            </w:r>
          </w:p>
        </w:tc>
      </w:tr>
      <w:tr w:rsidR="0045669E" w:rsidRPr="0009215B" w14:paraId="09CE5471" w14:textId="77777777" w:rsidTr="00E828E4">
        <w:tc>
          <w:tcPr>
            <w:tcW w:w="2155" w:type="dxa"/>
          </w:tcPr>
          <w:p w14:paraId="31EC810C" w14:textId="3DCB2401" w:rsidR="0045669E" w:rsidRPr="0009215B" w:rsidRDefault="0045669E" w:rsidP="00BA4AB6">
            <w:pPr>
              <w:pStyle w:val="ListParagraph"/>
              <w:numPr>
                <w:ilvl w:val="0"/>
                <w:numId w:val="1"/>
              </w:numPr>
              <w:rPr>
                <w:rFonts w:cs="Arial"/>
                <w:lang w:val="en-US"/>
              </w:rPr>
            </w:pPr>
            <w:r w:rsidRPr="0009215B">
              <w:rPr>
                <w:rFonts w:cs="Arial"/>
                <w:lang w:val="en-US"/>
              </w:rPr>
              <w:t>Grant amount varies</w:t>
            </w:r>
          </w:p>
          <w:p w14:paraId="591F6F91" w14:textId="77777777" w:rsidR="0045669E" w:rsidRPr="0009215B" w:rsidRDefault="0045669E" w:rsidP="00BA4AB6">
            <w:pPr>
              <w:pStyle w:val="ListParagraph"/>
              <w:numPr>
                <w:ilvl w:val="0"/>
                <w:numId w:val="2"/>
              </w:numPr>
              <w:rPr>
                <w:rFonts w:cs="Arial"/>
              </w:rPr>
            </w:pPr>
            <w:r w:rsidRPr="0009215B">
              <w:rPr>
                <w:rFonts w:cs="Arial"/>
              </w:rPr>
              <w:t>40% CFI (Fed)</w:t>
            </w:r>
          </w:p>
          <w:p w14:paraId="2607EF16" w14:textId="77777777" w:rsidR="0045669E" w:rsidRPr="0009215B" w:rsidRDefault="0045669E" w:rsidP="00BA4AB6">
            <w:pPr>
              <w:pStyle w:val="ListParagraph"/>
              <w:numPr>
                <w:ilvl w:val="0"/>
                <w:numId w:val="2"/>
              </w:numPr>
              <w:rPr>
                <w:rFonts w:cs="Arial"/>
              </w:rPr>
            </w:pPr>
            <w:r w:rsidRPr="0009215B">
              <w:rPr>
                <w:rFonts w:cs="Arial"/>
              </w:rPr>
              <w:t>40% MEDI (</w:t>
            </w:r>
            <w:proofErr w:type="spellStart"/>
            <w:r w:rsidRPr="0009215B">
              <w:rPr>
                <w:rFonts w:cs="Arial"/>
              </w:rPr>
              <w:t>Prov</w:t>
            </w:r>
            <w:proofErr w:type="spellEnd"/>
            <w:r w:rsidRPr="0009215B">
              <w:rPr>
                <w:rFonts w:cs="Arial"/>
              </w:rPr>
              <w:t>)</w:t>
            </w:r>
          </w:p>
          <w:p w14:paraId="196BD791" w14:textId="37E674CB" w:rsidR="0045669E" w:rsidRPr="0009215B" w:rsidRDefault="0045669E" w:rsidP="00BA4AB6">
            <w:pPr>
              <w:pStyle w:val="ListParagraph"/>
              <w:numPr>
                <w:ilvl w:val="0"/>
                <w:numId w:val="2"/>
              </w:numPr>
              <w:rPr>
                <w:rFonts w:cs="Arial"/>
              </w:rPr>
            </w:pPr>
            <w:r w:rsidRPr="0009215B">
              <w:rPr>
                <w:rFonts w:cs="Arial"/>
              </w:rPr>
              <w:t>20% other (UOIT, industry)</w:t>
            </w:r>
          </w:p>
          <w:p w14:paraId="59398E78" w14:textId="699BC781" w:rsidR="0045669E" w:rsidRPr="0009215B" w:rsidRDefault="0045669E" w:rsidP="00BA4AB6">
            <w:pPr>
              <w:pStyle w:val="ListParagraph"/>
              <w:numPr>
                <w:ilvl w:val="0"/>
                <w:numId w:val="1"/>
              </w:numPr>
              <w:rPr>
                <w:rFonts w:cs="Arial"/>
              </w:rPr>
            </w:pPr>
            <w:r w:rsidRPr="0009215B">
              <w:rPr>
                <w:rFonts w:cs="Arial"/>
              </w:rPr>
              <w:t>1 to 3 years</w:t>
            </w:r>
            <w:r w:rsidR="00014471" w:rsidRPr="0009215B">
              <w:rPr>
                <w:rFonts w:cs="Arial"/>
              </w:rPr>
              <w:t>, most common is 1 year</w:t>
            </w:r>
          </w:p>
          <w:p w14:paraId="101B85A9" w14:textId="77777777" w:rsidR="0045669E" w:rsidRPr="0009215B" w:rsidRDefault="0045669E" w:rsidP="00BA4AB6">
            <w:pPr>
              <w:pStyle w:val="ListParagraph"/>
              <w:ind w:left="360"/>
              <w:rPr>
                <w:rFonts w:cs="Arial"/>
                <w:lang w:val="en-US"/>
              </w:rPr>
            </w:pPr>
          </w:p>
        </w:tc>
        <w:tc>
          <w:tcPr>
            <w:tcW w:w="12235" w:type="dxa"/>
          </w:tcPr>
          <w:p w14:paraId="197A46E7" w14:textId="540D81D0" w:rsidR="002B5C34" w:rsidRPr="0009215B" w:rsidRDefault="002B5C34" w:rsidP="007575EC">
            <w:pPr>
              <w:pStyle w:val="ListParagraph"/>
              <w:numPr>
                <w:ilvl w:val="0"/>
                <w:numId w:val="1"/>
              </w:numPr>
              <w:rPr>
                <w:rFonts w:cs="Arial"/>
                <w:lang w:val="en-US"/>
              </w:rPr>
            </w:pPr>
            <w:r w:rsidRPr="0009215B">
              <w:rPr>
                <w:rFonts w:cs="Arial"/>
                <w:lang w:val="en-US"/>
              </w:rPr>
              <w:t xml:space="preserve">The Canada Foundation for Innovation (CFI) funds research infrastructure which consists of state-of-the-art equipment, buildings, laboratories, and databases required to conduct research. </w:t>
            </w:r>
          </w:p>
          <w:p w14:paraId="5577B3BC" w14:textId="6290721B" w:rsidR="0045669E" w:rsidRPr="0009215B" w:rsidRDefault="0045669E" w:rsidP="0086239E">
            <w:pPr>
              <w:pStyle w:val="ListParagraph"/>
              <w:numPr>
                <w:ilvl w:val="0"/>
                <w:numId w:val="1"/>
              </w:numPr>
              <w:rPr>
                <w:rFonts w:cs="Arial"/>
                <w:lang w:val="en-US"/>
              </w:rPr>
            </w:pPr>
            <w:r w:rsidRPr="0009215B">
              <w:rPr>
                <w:rFonts w:cs="Arial"/>
                <w:lang w:val="en-US"/>
              </w:rPr>
              <w:t xml:space="preserve">Budget allocation: need approval for </w:t>
            </w:r>
            <w:r w:rsidR="00C55D72" w:rsidRPr="0009215B">
              <w:rPr>
                <w:rFonts w:cs="Arial"/>
                <w:lang w:val="en-US"/>
              </w:rPr>
              <w:t xml:space="preserve">significant changes in </w:t>
            </w:r>
            <w:r w:rsidRPr="0009215B">
              <w:rPr>
                <w:rFonts w:cs="Arial"/>
                <w:lang w:val="en-US"/>
              </w:rPr>
              <w:t xml:space="preserve">budget </w:t>
            </w:r>
            <w:r w:rsidR="00C55D72" w:rsidRPr="0009215B">
              <w:rPr>
                <w:rFonts w:cs="Arial"/>
                <w:lang w:val="en-US"/>
              </w:rPr>
              <w:t xml:space="preserve">or </w:t>
            </w:r>
            <w:r w:rsidRPr="0009215B">
              <w:rPr>
                <w:rFonts w:cs="Arial"/>
                <w:lang w:val="en-US"/>
              </w:rPr>
              <w:t xml:space="preserve">change in </w:t>
            </w:r>
            <w:r w:rsidR="001C7251" w:rsidRPr="0009215B">
              <w:rPr>
                <w:rFonts w:cs="Arial"/>
                <w:lang w:val="en-US"/>
              </w:rPr>
              <w:t>functionality.</w:t>
            </w:r>
          </w:p>
          <w:p w14:paraId="249FDF67" w14:textId="77777777" w:rsidR="0009215B" w:rsidRPr="0009215B" w:rsidRDefault="002B5C34" w:rsidP="002B5C34">
            <w:pPr>
              <w:pStyle w:val="ListParagraph"/>
              <w:numPr>
                <w:ilvl w:val="0"/>
                <w:numId w:val="1"/>
              </w:numPr>
              <w:rPr>
                <w:rFonts w:cs="Arial"/>
                <w:lang w:val="en-US"/>
              </w:rPr>
            </w:pPr>
            <w:r w:rsidRPr="0009215B">
              <w:rPr>
                <w:rFonts w:cs="Arial"/>
              </w:rPr>
              <w:t>P</w:t>
            </w:r>
            <w:r w:rsidR="00EC577E" w:rsidRPr="0009215B">
              <w:rPr>
                <w:rFonts w:cs="Arial"/>
              </w:rPr>
              <w:t xml:space="preserve">urchase Orders are </w:t>
            </w:r>
            <w:r w:rsidRPr="0009215B">
              <w:rPr>
                <w:rFonts w:cs="Arial"/>
                <w:lang w:val="en-US"/>
              </w:rPr>
              <w:t>mandatory for large ticket purchases</w:t>
            </w:r>
          </w:p>
          <w:p w14:paraId="266B7919" w14:textId="04C0C0F6" w:rsidR="002B5C34" w:rsidRPr="0009215B" w:rsidRDefault="0009215B" w:rsidP="002B5C34">
            <w:pPr>
              <w:pStyle w:val="ListParagraph"/>
              <w:numPr>
                <w:ilvl w:val="0"/>
                <w:numId w:val="1"/>
              </w:numPr>
              <w:rPr>
                <w:rFonts w:cs="Arial"/>
                <w:lang w:val="en-US"/>
              </w:rPr>
            </w:pPr>
            <w:r w:rsidRPr="0009215B">
              <w:rPr>
                <w:rFonts w:cs="Arial"/>
                <w:lang w:val="en-US"/>
              </w:rPr>
              <w:t>Cannot expense</w:t>
            </w:r>
            <w:r w:rsidR="002B5C34" w:rsidRPr="0009215B">
              <w:rPr>
                <w:rFonts w:cs="Arial"/>
                <w:lang w:val="en-US"/>
              </w:rPr>
              <w:t xml:space="preserve"> salaries</w:t>
            </w:r>
            <w:r w:rsidRPr="0009215B">
              <w:rPr>
                <w:rFonts w:cs="Arial"/>
                <w:lang w:val="en-US"/>
              </w:rPr>
              <w:t xml:space="preserve">, with the exception of </w:t>
            </w:r>
            <w:r w:rsidR="002B5C34" w:rsidRPr="0009215B">
              <w:rPr>
                <w:rFonts w:cs="Arial"/>
                <w:lang w:val="en-US"/>
              </w:rPr>
              <w:t xml:space="preserve">technicians </w:t>
            </w:r>
            <w:r w:rsidRPr="0009215B">
              <w:rPr>
                <w:rFonts w:cs="Arial"/>
                <w:lang w:val="en-US"/>
              </w:rPr>
              <w:t xml:space="preserve">that </w:t>
            </w:r>
            <w:r w:rsidR="002B5C34" w:rsidRPr="0009215B">
              <w:rPr>
                <w:rFonts w:cs="Arial"/>
                <w:lang w:val="en-US"/>
              </w:rPr>
              <w:t>develop</w:t>
            </w:r>
            <w:r w:rsidRPr="0009215B">
              <w:rPr>
                <w:rFonts w:cs="Arial"/>
                <w:lang w:val="en-US"/>
              </w:rPr>
              <w:t xml:space="preserve"> </w:t>
            </w:r>
            <w:r w:rsidR="002B5C34" w:rsidRPr="0009215B">
              <w:rPr>
                <w:rFonts w:cs="Arial"/>
                <w:lang w:val="en-US"/>
              </w:rPr>
              <w:t>software</w:t>
            </w:r>
            <w:r w:rsidRPr="0009215B">
              <w:rPr>
                <w:rFonts w:cs="Arial"/>
                <w:lang w:val="en-US"/>
              </w:rPr>
              <w:t xml:space="preserve"> related to the project</w:t>
            </w:r>
            <w:r w:rsidR="001C7251" w:rsidRPr="0009215B">
              <w:rPr>
                <w:rFonts w:cs="Arial"/>
                <w:lang w:val="en-US"/>
              </w:rPr>
              <w:t>.</w:t>
            </w:r>
            <w:r w:rsidR="002724C4" w:rsidRPr="0009215B">
              <w:rPr>
                <w:rFonts w:cs="Arial"/>
                <w:lang w:val="en-US"/>
              </w:rPr>
              <w:t xml:space="preserve"> </w:t>
            </w:r>
          </w:p>
          <w:p w14:paraId="7BE56100" w14:textId="5A7668E6" w:rsidR="00C55D72" w:rsidRPr="0009215B" w:rsidRDefault="0045669E" w:rsidP="003C17C3">
            <w:pPr>
              <w:pStyle w:val="ListParagraph"/>
              <w:numPr>
                <w:ilvl w:val="0"/>
                <w:numId w:val="1"/>
              </w:numPr>
              <w:rPr>
                <w:rFonts w:cs="Arial"/>
                <w:lang w:val="en-US"/>
              </w:rPr>
            </w:pPr>
            <w:r w:rsidRPr="0009215B">
              <w:rPr>
                <w:rFonts w:cs="Arial"/>
                <w:lang w:val="en-US"/>
              </w:rPr>
              <w:t>In-kind contributi</w:t>
            </w:r>
            <w:r w:rsidR="00C55D72" w:rsidRPr="0009215B">
              <w:rPr>
                <w:rFonts w:cs="Arial"/>
                <w:lang w:val="en-US"/>
              </w:rPr>
              <w:t>ons must be documented – with several specific requirements</w:t>
            </w:r>
            <w:r w:rsidR="001C7251" w:rsidRPr="0009215B">
              <w:rPr>
                <w:rFonts w:cs="Arial"/>
                <w:lang w:val="en-US"/>
              </w:rPr>
              <w:t>:</w:t>
            </w:r>
          </w:p>
          <w:p w14:paraId="0673B8AB" w14:textId="7FFE4411" w:rsidR="00C55D72" w:rsidRPr="0009215B" w:rsidRDefault="00C55D72" w:rsidP="00C55D72">
            <w:pPr>
              <w:pStyle w:val="ListParagraph"/>
              <w:numPr>
                <w:ilvl w:val="0"/>
                <w:numId w:val="1"/>
              </w:numPr>
              <w:ind w:left="2232"/>
              <w:rPr>
                <w:rFonts w:cs="Arial"/>
                <w:lang w:val="en-US"/>
              </w:rPr>
            </w:pPr>
            <w:r w:rsidRPr="0009215B">
              <w:rPr>
                <w:rFonts w:cs="Arial"/>
                <w:lang w:val="en-US"/>
              </w:rPr>
              <w:t>C</w:t>
            </w:r>
            <w:r w:rsidR="0045669E" w:rsidRPr="0009215B">
              <w:rPr>
                <w:rFonts w:cs="Arial"/>
                <w:lang w:val="en-US"/>
              </w:rPr>
              <w:t>alculated CFI in-kind calc</w:t>
            </w:r>
            <w:r w:rsidR="00670247" w:rsidRPr="0009215B">
              <w:rPr>
                <w:rFonts w:cs="Arial"/>
                <w:lang w:val="en-US"/>
              </w:rPr>
              <w:t>ulation</w:t>
            </w:r>
            <w:r w:rsidR="0045669E" w:rsidRPr="0009215B">
              <w:rPr>
                <w:rFonts w:cs="Arial"/>
                <w:lang w:val="en-US"/>
              </w:rPr>
              <w:t xml:space="preserve"> is based on listed price LESS discounts. </w:t>
            </w:r>
          </w:p>
          <w:p w14:paraId="13D0F221" w14:textId="099EF414" w:rsidR="00C55D72" w:rsidRPr="0009215B" w:rsidRDefault="0045669E" w:rsidP="00C55D72">
            <w:pPr>
              <w:pStyle w:val="ListParagraph"/>
              <w:numPr>
                <w:ilvl w:val="0"/>
                <w:numId w:val="1"/>
              </w:numPr>
              <w:ind w:left="2232"/>
              <w:rPr>
                <w:rFonts w:cs="Arial"/>
                <w:lang w:val="en-US"/>
              </w:rPr>
            </w:pPr>
            <w:r w:rsidRPr="0009215B">
              <w:rPr>
                <w:rFonts w:cs="Arial"/>
                <w:lang w:val="en-US"/>
              </w:rPr>
              <w:t>On an invoice or P.O., in kind</w:t>
            </w:r>
            <w:r w:rsidR="0009215B" w:rsidRPr="0009215B">
              <w:rPr>
                <w:rFonts w:cs="Arial"/>
                <w:lang w:val="en-US"/>
              </w:rPr>
              <w:t xml:space="preserve"> needs to be listed</w:t>
            </w:r>
            <w:r w:rsidRPr="0009215B">
              <w:rPr>
                <w:rFonts w:cs="Arial"/>
                <w:lang w:val="en-US"/>
              </w:rPr>
              <w:t xml:space="preserve"> </w:t>
            </w:r>
          </w:p>
          <w:p w14:paraId="6C372077" w14:textId="71B73F4F" w:rsidR="0045669E" w:rsidRPr="0009215B" w:rsidRDefault="0045669E" w:rsidP="003C17C3">
            <w:pPr>
              <w:pStyle w:val="ListParagraph"/>
              <w:numPr>
                <w:ilvl w:val="0"/>
                <w:numId w:val="1"/>
              </w:numPr>
              <w:rPr>
                <w:rFonts w:cs="Arial"/>
                <w:lang w:val="en-US"/>
              </w:rPr>
            </w:pPr>
            <w:r w:rsidRPr="0009215B">
              <w:rPr>
                <w:rFonts w:cs="Arial"/>
                <w:lang w:val="en-US"/>
              </w:rPr>
              <w:t>An Operational Report must be filed by the P</w:t>
            </w:r>
            <w:r w:rsidR="006C0919" w:rsidRPr="0009215B">
              <w:rPr>
                <w:rFonts w:cs="Arial"/>
                <w:lang w:val="en-US"/>
              </w:rPr>
              <w:t>rincipal Investigator</w:t>
            </w:r>
            <w:r w:rsidRPr="0009215B">
              <w:rPr>
                <w:rFonts w:cs="Arial"/>
                <w:lang w:val="en-US"/>
              </w:rPr>
              <w:t xml:space="preserve"> once the equipment is operational.</w:t>
            </w:r>
          </w:p>
          <w:p w14:paraId="19E56806" w14:textId="2CE02A4A" w:rsidR="00FF3EA5" w:rsidRPr="0009215B" w:rsidRDefault="00FF3EA5" w:rsidP="003C17C3">
            <w:pPr>
              <w:pStyle w:val="ListParagraph"/>
              <w:numPr>
                <w:ilvl w:val="0"/>
                <w:numId w:val="1"/>
              </w:numPr>
              <w:rPr>
                <w:rFonts w:cs="Arial"/>
                <w:lang w:val="en-US"/>
              </w:rPr>
            </w:pPr>
            <w:r w:rsidRPr="0009215B">
              <w:rPr>
                <w:rFonts w:cs="Arial"/>
                <w:lang w:val="en-US"/>
              </w:rPr>
              <w:t xml:space="preserve">Up to 15% of the total grant amount may be used for eligible administration expenses not covered </w:t>
            </w:r>
            <w:r w:rsidR="0027689E" w:rsidRPr="0009215B">
              <w:rPr>
                <w:rFonts w:cs="Arial"/>
                <w:lang w:val="en-US"/>
              </w:rPr>
              <w:t xml:space="preserve">by the </w:t>
            </w:r>
            <w:r w:rsidR="00CC7348" w:rsidRPr="0009215B">
              <w:rPr>
                <w:rFonts w:cs="Arial"/>
                <w:lang w:val="en-US"/>
              </w:rPr>
              <w:t>r</w:t>
            </w:r>
            <w:r w:rsidR="0027689E" w:rsidRPr="0009215B">
              <w:rPr>
                <w:rFonts w:cs="Arial"/>
                <w:lang w:val="en-US"/>
              </w:rPr>
              <w:t xml:space="preserve">esearch </w:t>
            </w:r>
            <w:r w:rsidR="00CC7348" w:rsidRPr="0009215B">
              <w:rPr>
                <w:rFonts w:cs="Arial"/>
                <w:lang w:val="en-US"/>
              </w:rPr>
              <w:t>support fund p</w:t>
            </w:r>
            <w:r w:rsidR="0027689E" w:rsidRPr="0009215B">
              <w:rPr>
                <w:rFonts w:cs="Arial"/>
                <w:lang w:val="en-US"/>
              </w:rPr>
              <w:t>rogram</w:t>
            </w:r>
            <w:r w:rsidR="008858A3" w:rsidRPr="0009215B">
              <w:rPr>
                <w:rFonts w:cs="Arial"/>
                <w:lang w:val="en-US"/>
              </w:rPr>
              <w:t xml:space="preserve">. </w:t>
            </w:r>
            <w:r w:rsidR="008858A3" w:rsidRPr="0009215B">
              <w:rPr>
                <w:rFonts w:cs="Arial"/>
              </w:rPr>
              <w:t>Administrative expenditures above this 15% must come from non-NCE funds.</w:t>
            </w:r>
          </w:p>
          <w:p w14:paraId="37C7E0F6" w14:textId="7EA32ED0" w:rsidR="00A55E3E" w:rsidRPr="0009215B" w:rsidRDefault="00A55E3E" w:rsidP="00A55E3E">
            <w:pPr>
              <w:pStyle w:val="ListParagraph"/>
              <w:numPr>
                <w:ilvl w:val="0"/>
                <w:numId w:val="1"/>
              </w:numPr>
              <w:rPr>
                <w:rFonts w:cs="Arial"/>
                <w:lang w:val="en-US"/>
              </w:rPr>
            </w:pPr>
            <w:r w:rsidRPr="0009215B">
              <w:rPr>
                <w:rFonts w:cs="Arial"/>
                <w:lang w:val="en-US"/>
              </w:rPr>
              <w:t>Can apply for extension</w:t>
            </w:r>
            <w:r w:rsidR="001C7251" w:rsidRPr="0009215B">
              <w:rPr>
                <w:rFonts w:cs="Arial"/>
                <w:lang w:val="en-US"/>
              </w:rPr>
              <w:t>.</w:t>
            </w:r>
          </w:p>
          <w:p w14:paraId="4045A999" w14:textId="35BD2EB8" w:rsidR="00F84C3A" w:rsidRPr="0009215B" w:rsidRDefault="00F84C3A" w:rsidP="00F84C3A">
            <w:pPr>
              <w:pStyle w:val="ListParagraph"/>
              <w:numPr>
                <w:ilvl w:val="0"/>
                <w:numId w:val="1"/>
              </w:numPr>
              <w:rPr>
                <w:rFonts w:cs="Arial"/>
                <w:lang w:val="en-US"/>
              </w:rPr>
            </w:pPr>
            <w:r w:rsidRPr="0009215B">
              <w:rPr>
                <w:rFonts w:cs="Arial"/>
                <w:lang w:val="en-US"/>
              </w:rPr>
              <w:t xml:space="preserve">6 months grace period after end date to prepare final report, F300 </w:t>
            </w:r>
            <w:r w:rsidRPr="0009215B">
              <w:rPr>
                <w:rFonts w:cs="Arial"/>
                <w:b/>
                <w:lang w:val="en-US"/>
              </w:rPr>
              <w:t>not</w:t>
            </w:r>
            <w:r w:rsidRPr="0009215B">
              <w:rPr>
                <w:rFonts w:cs="Arial"/>
                <w:lang w:val="en-US"/>
              </w:rPr>
              <w:t xml:space="preserve"> required</w:t>
            </w:r>
            <w:r w:rsidR="00393D86" w:rsidRPr="0009215B">
              <w:rPr>
                <w:rFonts w:cs="Arial"/>
                <w:lang w:val="en-US"/>
              </w:rPr>
              <w:t>.</w:t>
            </w:r>
          </w:p>
          <w:p w14:paraId="4B882A79" w14:textId="0BA31966" w:rsidR="002D34F3" w:rsidRPr="0009215B" w:rsidRDefault="00C55D72" w:rsidP="00F84C3A">
            <w:pPr>
              <w:pStyle w:val="ListParagraph"/>
              <w:numPr>
                <w:ilvl w:val="0"/>
                <w:numId w:val="1"/>
              </w:numPr>
              <w:rPr>
                <w:rFonts w:cs="Arial"/>
                <w:lang w:val="en-US"/>
              </w:rPr>
            </w:pPr>
            <w:r w:rsidRPr="0009215B">
              <w:rPr>
                <w:rFonts w:cs="Arial"/>
                <w:lang w:val="en-US"/>
              </w:rPr>
              <w:t xml:space="preserve">Final report includes detailed analysis of </w:t>
            </w:r>
            <w:r w:rsidR="002D34F3" w:rsidRPr="0009215B">
              <w:rPr>
                <w:rFonts w:cs="Arial"/>
                <w:lang w:val="en-US"/>
              </w:rPr>
              <w:t>personnel costs – record of time and activities performed</w:t>
            </w:r>
            <w:r w:rsidR="001C7251" w:rsidRPr="0009215B">
              <w:rPr>
                <w:rFonts w:cs="Arial"/>
                <w:lang w:val="en-US"/>
              </w:rPr>
              <w:t>.</w:t>
            </w:r>
          </w:p>
          <w:p w14:paraId="41D24045" w14:textId="77777777" w:rsidR="002D34F3" w:rsidRPr="0009215B" w:rsidRDefault="002D34F3" w:rsidP="00F84C3A">
            <w:pPr>
              <w:pStyle w:val="ListParagraph"/>
              <w:numPr>
                <w:ilvl w:val="0"/>
                <w:numId w:val="1"/>
              </w:numPr>
              <w:rPr>
                <w:rFonts w:cs="Arial"/>
                <w:lang w:val="en-US"/>
              </w:rPr>
            </w:pPr>
            <w:r w:rsidRPr="0009215B">
              <w:rPr>
                <w:rFonts w:cs="Arial"/>
                <w:lang w:val="en-US"/>
              </w:rPr>
              <w:t xml:space="preserve">Projects with a CFI contribution of under $1M will complete a progress report annually for 4 years. Those that are $1M or greater must submit a progress report annually for 5 years. </w:t>
            </w:r>
          </w:p>
          <w:p w14:paraId="39F86884" w14:textId="0F28D96C" w:rsidR="00F84C3A" w:rsidRPr="0009215B" w:rsidRDefault="00F84C3A" w:rsidP="00C55D72">
            <w:pPr>
              <w:pStyle w:val="ListParagraph"/>
              <w:ind w:left="360"/>
              <w:rPr>
                <w:rFonts w:cs="Arial"/>
                <w:lang w:val="en-US"/>
              </w:rPr>
            </w:pPr>
          </w:p>
        </w:tc>
      </w:tr>
    </w:tbl>
    <w:p w14:paraId="5501BDDF" w14:textId="77777777" w:rsidR="002724C4" w:rsidRPr="0009215B" w:rsidRDefault="002724C4" w:rsidP="002B1F24">
      <w:pPr>
        <w:spacing w:after="120" w:line="240" w:lineRule="auto"/>
      </w:pPr>
    </w:p>
    <w:p w14:paraId="0E11996D" w14:textId="21FDF26D" w:rsidR="00F85329" w:rsidRPr="0009215B" w:rsidRDefault="00D047E6" w:rsidP="002B1F24">
      <w:pPr>
        <w:spacing w:after="120" w:line="240" w:lineRule="auto"/>
        <w:rPr>
          <w:rFonts w:ascii="Arial Rounded MT Bold" w:hAnsi="Arial Rounded MT Bold"/>
          <w:color w:val="1F4E79" w:themeColor="accent1" w:themeShade="80"/>
          <w:lang w:val="en-US"/>
        </w:rPr>
      </w:pPr>
      <w:hyperlink r:id="rId17" w:history="1">
        <w:r w:rsidR="003043DC" w:rsidRPr="0009215B">
          <w:rPr>
            <w:rStyle w:val="Hyperlink"/>
            <w:rFonts w:ascii="Arial Rounded MT Bold" w:hAnsi="Arial Rounded MT Bold"/>
            <w:lang w:val="en-US"/>
          </w:rPr>
          <w:t>CFI-</w:t>
        </w:r>
        <w:r w:rsidR="009A2387" w:rsidRPr="0009215B">
          <w:rPr>
            <w:rStyle w:val="Hyperlink"/>
            <w:rFonts w:ascii="Arial Rounded MT Bold" w:hAnsi="Arial Rounded MT Bold"/>
            <w:lang w:val="en-US"/>
          </w:rPr>
          <w:t>Infrastructure Operating Fund (I</w:t>
        </w:r>
        <w:r w:rsidR="00F85329" w:rsidRPr="0009215B">
          <w:rPr>
            <w:rStyle w:val="Hyperlink"/>
            <w:rFonts w:ascii="Arial Rounded MT Bold" w:hAnsi="Arial Rounded MT Bold"/>
            <w:lang w:val="en-US"/>
          </w:rPr>
          <w:t>OF</w:t>
        </w:r>
      </w:hyperlink>
      <w:r w:rsidR="009A2387" w:rsidRPr="0009215B">
        <w:rPr>
          <w:rStyle w:val="Hyperlink"/>
          <w:rFonts w:ascii="Arial Rounded MT Bold" w:hAnsi="Arial Rounded MT Bold"/>
          <w:lang w:val="en-US"/>
        </w:rPr>
        <w:t>)</w:t>
      </w:r>
    </w:p>
    <w:tbl>
      <w:tblPr>
        <w:tblStyle w:val="TableGrid"/>
        <w:tblW w:w="5000" w:type="pct"/>
        <w:tblLook w:val="04A0" w:firstRow="1" w:lastRow="0" w:firstColumn="1" w:lastColumn="0" w:noHBand="0" w:noVBand="1"/>
      </w:tblPr>
      <w:tblGrid>
        <w:gridCol w:w="2156"/>
        <w:gridCol w:w="12234"/>
      </w:tblGrid>
      <w:tr w:rsidR="0045669E" w:rsidRPr="0009215B" w14:paraId="60467D9A" w14:textId="77777777" w:rsidTr="00E828E4">
        <w:tc>
          <w:tcPr>
            <w:tcW w:w="749" w:type="pct"/>
            <w:shd w:val="clear" w:color="auto" w:fill="2F5496" w:themeFill="accent5" w:themeFillShade="BF"/>
          </w:tcPr>
          <w:p w14:paraId="54379AC7" w14:textId="77777777" w:rsidR="0045669E" w:rsidRPr="0009215B" w:rsidRDefault="0045669E" w:rsidP="007F6EC0">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Typical Amount and Duration</w:t>
            </w:r>
          </w:p>
        </w:tc>
        <w:tc>
          <w:tcPr>
            <w:tcW w:w="4251" w:type="pct"/>
            <w:shd w:val="clear" w:color="auto" w:fill="2F5496" w:themeFill="accent5" w:themeFillShade="BF"/>
          </w:tcPr>
          <w:p w14:paraId="74399643" w14:textId="79CE1DDF" w:rsidR="0045669E" w:rsidRPr="0009215B" w:rsidRDefault="00615385" w:rsidP="0086239E">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Financial Characteristics</w:t>
            </w:r>
          </w:p>
        </w:tc>
      </w:tr>
      <w:tr w:rsidR="0045669E" w:rsidRPr="0009215B" w14:paraId="150D3AF9" w14:textId="77777777" w:rsidTr="00E828E4">
        <w:tc>
          <w:tcPr>
            <w:tcW w:w="749" w:type="pct"/>
          </w:tcPr>
          <w:p w14:paraId="0B4D6121" w14:textId="77777777" w:rsidR="0045669E" w:rsidRPr="0009215B" w:rsidRDefault="000067C6" w:rsidP="0086239E">
            <w:pPr>
              <w:pStyle w:val="ListParagraph"/>
              <w:numPr>
                <w:ilvl w:val="0"/>
                <w:numId w:val="1"/>
              </w:numPr>
              <w:rPr>
                <w:rFonts w:cs="Arial"/>
                <w:lang w:val="en-US"/>
              </w:rPr>
            </w:pPr>
            <w:r w:rsidRPr="0009215B">
              <w:rPr>
                <w:rFonts w:cs="Arial"/>
                <w:lang w:val="en-US"/>
              </w:rPr>
              <w:t>Grant amount varies</w:t>
            </w:r>
          </w:p>
          <w:p w14:paraId="3293DCD8" w14:textId="77777777" w:rsidR="000067C6" w:rsidRPr="0009215B" w:rsidRDefault="000067C6" w:rsidP="0086239E">
            <w:pPr>
              <w:pStyle w:val="ListParagraph"/>
              <w:numPr>
                <w:ilvl w:val="0"/>
                <w:numId w:val="1"/>
              </w:numPr>
              <w:rPr>
                <w:rFonts w:cs="Arial"/>
                <w:lang w:val="en-US"/>
              </w:rPr>
            </w:pPr>
            <w:r w:rsidRPr="0009215B">
              <w:rPr>
                <w:rFonts w:cs="Arial"/>
                <w:lang w:val="en-US"/>
              </w:rPr>
              <w:t>Typically 1 to 2 years</w:t>
            </w:r>
          </w:p>
        </w:tc>
        <w:tc>
          <w:tcPr>
            <w:tcW w:w="4251" w:type="pct"/>
          </w:tcPr>
          <w:p w14:paraId="6D8C2A99" w14:textId="48EB1F36" w:rsidR="00637AF8" w:rsidRPr="0009215B" w:rsidRDefault="00E45A0D" w:rsidP="002E4F80">
            <w:pPr>
              <w:pStyle w:val="ListParagraph"/>
              <w:numPr>
                <w:ilvl w:val="0"/>
                <w:numId w:val="1"/>
              </w:numPr>
              <w:rPr>
                <w:rFonts w:cs="Arial"/>
              </w:rPr>
            </w:pPr>
            <w:r w:rsidRPr="0009215B">
              <w:rPr>
                <w:rFonts w:cs="Arial"/>
              </w:rPr>
              <w:t>IOF f</w:t>
            </w:r>
            <w:r w:rsidR="00637AF8" w:rsidRPr="0009215B">
              <w:rPr>
                <w:rFonts w:cs="Arial"/>
              </w:rPr>
              <w:t xml:space="preserve">unds </w:t>
            </w:r>
            <w:r w:rsidRPr="0009215B">
              <w:rPr>
                <w:rFonts w:cs="Arial"/>
              </w:rPr>
              <w:t>h</w:t>
            </w:r>
            <w:r w:rsidR="004E7417" w:rsidRPr="0009215B">
              <w:rPr>
                <w:rFonts w:cs="Arial"/>
              </w:rPr>
              <w:t>elp cover</w:t>
            </w:r>
            <w:r w:rsidRPr="0009215B">
              <w:rPr>
                <w:rFonts w:cs="Arial"/>
              </w:rPr>
              <w:t xml:space="preserve"> a portion of</w:t>
            </w:r>
            <w:r w:rsidR="004E7417" w:rsidRPr="0009215B">
              <w:rPr>
                <w:rFonts w:cs="Arial"/>
              </w:rPr>
              <w:t xml:space="preserve"> the </w:t>
            </w:r>
            <w:hyperlink r:id="rId18" w:history="1">
              <w:r w:rsidR="00637AF8" w:rsidRPr="0009215B">
                <w:rPr>
                  <w:rStyle w:val="Hyperlink"/>
                  <w:rFonts w:cs="Arial"/>
                </w:rPr>
                <w:t>maintenance and operati</w:t>
              </w:r>
              <w:r w:rsidR="004E7417" w:rsidRPr="0009215B">
                <w:rPr>
                  <w:rStyle w:val="Hyperlink"/>
                  <w:rFonts w:cs="Arial"/>
                </w:rPr>
                <w:t>ng costs</w:t>
              </w:r>
            </w:hyperlink>
            <w:r w:rsidR="004E7417" w:rsidRPr="0009215B">
              <w:rPr>
                <w:rFonts w:cs="Arial"/>
              </w:rPr>
              <w:t xml:space="preserve"> to ensure optimal use </w:t>
            </w:r>
            <w:r w:rsidR="00637AF8" w:rsidRPr="0009215B">
              <w:rPr>
                <w:rFonts w:cs="Arial"/>
              </w:rPr>
              <w:t xml:space="preserve">of CFI-funded </w:t>
            </w:r>
            <w:r w:rsidR="004E7417" w:rsidRPr="0009215B">
              <w:rPr>
                <w:rFonts w:cs="Arial"/>
              </w:rPr>
              <w:t>infrastructure</w:t>
            </w:r>
            <w:r w:rsidR="00D9567E" w:rsidRPr="0009215B">
              <w:rPr>
                <w:rFonts w:cs="Arial"/>
              </w:rPr>
              <w:t xml:space="preserve">. Direct costs of research, student stipends, </w:t>
            </w:r>
            <w:r w:rsidR="008917D0" w:rsidRPr="0009215B">
              <w:rPr>
                <w:rFonts w:cs="Arial"/>
              </w:rPr>
              <w:t>and clerical</w:t>
            </w:r>
            <w:r w:rsidR="00D9567E" w:rsidRPr="0009215B">
              <w:rPr>
                <w:rFonts w:cs="Arial"/>
              </w:rPr>
              <w:t xml:space="preserve"> support salaries are INELIGIBLE</w:t>
            </w:r>
            <w:r w:rsidR="00B96460" w:rsidRPr="0009215B">
              <w:rPr>
                <w:rFonts w:cs="Arial"/>
              </w:rPr>
              <w:t>.</w:t>
            </w:r>
          </w:p>
          <w:p w14:paraId="354B3182" w14:textId="53F52542" w:rsidR="002E4F80" w:rsidRPr="0009215B" w:rsidRDefault="00443F13" w:rsidP="002E4F80">
            <w:pPr>
              <w:pStyle w:val="ListParagraph"/>
              <w:numPr>
                <w:ilvl w:val="0"/>
                <w:numId w:val="1"/>
              </w:numPr>
              <w:rPr>
                <w:rFonts w:cs="Arial"/>
              </w:rPr>
            </w:pPr>
            <w:r w:rsidRPr="0009215B">
              <w:rPr>
                <w:rFonts w:cs="Arial"/>
              </w:rPr>
              <w:t>30% of CFI (Fed) amount granted</w:t>
            </w:r>
            <w:r w:rsidR="002E4F80" w:rsidRPr="0009215B">
              <w:rPr>
                <w:rFonts w:cs="Arial"/>
              </w:rPr>
              <w:t xml:space="preserve"> above, no partner funding required in IOF</w:t>
            </w:r>
            <w:r w:rsidR="001C7251" w:rsidRPr="0009215B">
              <w:rPr>
                <w:rFonts w:cs="Arial"/>
              </w:rPr>
              <w:t>.</w:t>
            </w:r>
          </w:p>
          <w:p w14:paraId="20B720DE" w14:textId="05F4A8DF" w:rsidR="002E4F80" w:rsidRPr="0009215B" w:rsidRDefault="00D047E6" w:rsidP="002E4F80">
            <w:pPr>
              <w:pStyle w:val="ListParagraph"/>
              <w:numPr>
                <w:ilvl w:val="0"/>
                <w:numId w:val="1"/>
              </w:numPr>
              <w:rPr>
                <w:rFonts w:cs="Arial"/>
              </w:rPr>
            </w:pPr>
            <w:hyperlink r:id="rId19" w:history="1">
              <w:r w:rsidR="002E6418" w:rsidRPr="0009215B">
                <w:rPr>
                  <w:rStyle w:val="Hyperlink"/>
                  <w:rFonts w:cs="Arial"/>
                </w:rPr>
                <w:t>Certification f</w:t>
              </w:r>
              <w:r w:rsidR="002E4F80" w:rsidRPr="0009215B">
                <w:rPr>
                  <w:rStyle w:val="Hyperlink"/>
                  <w:rFonts w:cs="Arial"/>
                </w:rPr>
                <w:t>orm</w:t>
              </w:r>
            </w:hyperlink>
            <w:r w:rsidR="002E4F80" w:rsidRPr="0009215B">
              <w:rPr>
                <w:rFonts w:cs="Arial"/>
              </w:rPr>
              <w:t xml:space="preserve"> required if technician is needed </w:t>
            </w:r>
            <w:r w:rsidR="002E6418" w:rsidRPr="0009215B">
              <w:rPr>
                <w:rFonts w:cs="Arial"/>
              </w:rPr>
              <w:t>to maintain equipment</w:t>
            </w:r>
            <w:r w:rsidR="004650D8" w:rsidRPr="0009215B">
              <w:rPr>
                <w:rFonts w:cs="Arial"/>
              </w:rPr>
              <w:t>.</w:t>
            </w:r>
          </w:p>
          <w:p w14:paraId="2C74B9EB" w14:textId="3AEC69A8" w:rsidR="0045669E" w:rsidRPr="0009215B" w:rsidRDefault="002E4F80" w:rsidP="0009215B">
            <w:pPr>
              <w:pStyle w:val="ListParagraph"/>
              <w:numPr>
                <w:ilvl w:val="0"/>
                <w:numId w:val="1"/>
              </w:numPr>
              <w:rPr>
                <w:rFonts w:cs="Arial"/>
              </w:rPr>
            </w:pPr>
            <w:r w:rsidRPr="0009215B">
              <w:rPr>
                <w:rFonts w:cs="Arial"/>
                <w:b/>
                <w:bCs/>
              </w:rPr>
              <w:t xml:space="preserve">IOF </w:t>
            </w:r>
            <w:r w:rsidR="006E1CE6" w:rsidRPr="0009215B">
              <w:rPr>
                <w:rFonts w:cs="Arial"/>
                <w:b/>
                <w:bCs/>
              </w:rPr>
              <w:t>funding begins</w:t>
            </w:r>
            <w:r w:rsidRPr="0009215B">
              <w:rPr>
                <w:rFonts w:cs="Arial"/>
                <w:b/>
                <w:bCs/>
              </w:rPr>
              <w:t xml:space="preserve"> after CFI funding is done</w:t>
            </w:r>
            <w:r w:rsidR="002724C4" w:rsidRPr="0009215B">
              <w:rPr>
                <w:rFonts w:cs="Arial"/>
                <w:b/>
                <w:bCs/>
              </w:rPr>
              <w:t xml:space="preserve">. </w:t>
            </w:r>
          </w:p>
        </w:tc>
      </w:tr>
    </w:tbl>
    <w:p w14:paraId="379C2AB0" w14:textId="05000C48" w:rsidR="00F85329" w:rsidRPr="0009215B" w:rsidRDefault="00F85329" w:rsidP="00F85329">
      <w:pPr>
        <w:spacing w:after="120"/>
        <w:rPr>
          <w:rFonts w:ascii="Arial Rounded MT Bold" w:hAnsi="Arial Rounded MT Bold"/>
          <w:color w:val="1F4E79" w:themeColor="accent1" w:themeShade="80"/>
          <w:lang w:val="en-US"/>
        </w:rPr>
      </w:pPr>
    </w:p>
    <w:p w14:paraId="5E9C8304" w14:textId="77777777" w:rsidR="00A92B05" w:rsidRPr="0009215B" w:rsidRDefault="00A92B05" w:rsidP="002B1F24">
      <w:pPr>
        <w:spacing w:before="120" w:after="120" w:line="240" w:lineRule="auto"/>
      </w:pPr>
    </w:p>
    <w:p w14:paraId="0F1FA842" w14:textId="77777777" w:rsidR="00E828E4" w:rsidRPr="0009215B" w:rsidRDefault="00E828E4" w:rsidP="002B1F24">
      <w:pPr>
        <w:spacing w:before="120" w:after="120" w:line="240" w:lineRule="auto"/>
      </w:pPr>
    </w:p>
    <w:p w14:paraId="439D0022" w14:textId="77777777" w:rsidR="00F85329" w:rsidRPr="0009215B" w:rsidRDefault="00D047E6" w:rsidP="002B1F24">
      <w:pPr>
        <w:spacing w:before="120" w:after="120" w:line="240" w:lineRule="auto"/>
        <w:rPr>
          <w:rFonts w:ascii="Arial Rounded MT Bold" w:hAnsi="Arial Rounded MT Bold"/>
          <w:color w:val="1F4E79" w:themeColor="accent1" w:themeShade="80"/>
          <w:sz w:val="21"/>
          <w:szCs w:val="21"/>
          <w:lang w:val="en-US"/>
        </w:rPr>
      </w:pPr>
      <w:hyperlink r:id="rId20" w:history="1">
        <w:r w:rsidR="00F85329" w:rsidRPr="0009215B">
          <w:rPr>
            <w:rStyle w:val="Hyperlink"/>
            <w:rFonts w:ascii="Arial Rounded MT Bold" w:hAnsi="Arial Rounded MT Bold"/>
            <w:sz w:val="21"/>
            <w:szCs w:val="21"/>
            <w:lang w:val="en-US"/>
          </w:rPr>
          <w:t>O</w:t>
        </w:r>
        <w:r w:rsidR="00BA00C3" w:rsidRPr="0009215B">
          <w:rPr>
            <w:rStyle w:val="Hyperlink"/>
            <w:rFonts w:ascii="Arial Rounded MT Bold" w:hAnsi="Arial Rounded MT Bold"/>
            <w:sz w:val="21"/>
            <w:szCs w:val="21"/>
            <w:lang w:val="en-US"/>
          </w:rPr>
          <w:t>ntario Research Fund (O</w:t>
        </w:r>
        <w:r w:rsidR="00F85329" w:rsidRPr="0009215B">
          <w:rPr>
            <w:rStyle w:val="Hyperlink"/>
            <w:rFonts w:ascii="Arial Rounded MT Bold" w:hAnsi="Arial Rounded MT Bold"/>
            <w:sz w:val="21"/>
            <w:szCs w:val="21"/>
            <w:lang w:val="en-US"/>
          </w:rPr>
          <w:t>RF</w:t>
        </w:r>
        <w:r w:rsidR="00BA00C3" w:rsidRPr="0009215B">
          <w:rPr>
            <w:rStyle w:val="Hyperlink"/>
            <w:rFonts w:ascii="Arial Rounded MT Bold" w:hAnsi="Arial Rounded MT Bold"/>
            <w:sz w:val="21"/>
            <w:szCs w:val="21"/>
            <w:lang w:val="en-US"/>
          </w:rPr>
          <w:t>)</w:t>
        </w:r>
      </w:hyperlink>
      <w:r w:rsidR="00F85329" w:rsidRPr="0009215B">
        <w:rPr>
          <w:rFonts w:ascii="Arial Rounded MT Bold" w:hAnsi="Arial Rounded MT Bold"/>
          <w:color w:val="1F4E79" w:themeColor="accent1" w:themeShade="80"/>
          <w:sz w:val="21"/>
          <w:szCs w:val="21"/>
          <w:lang w:val="en-US"/>
        </w:rPr>
        <w:t xml:space="preserve"> </w:t>
      </w:r>
    </w:p>
    <w:tbl>
      <w:tblPr>
        <w:tblStyle w:val="TableGrid"/>
        <w:tblW w:w="5000" w:type="pct"/>
        <w:tblLook w:val="04A0" w:firstRow="1" w:lastRow="0" w:firstColumn="1" w:lastColumn="0" w:noHBand="0" w:noVBand="1"/>
      </w:tblPr>
      <w:tblGrid>
        <w:gridCol w:w="2156"/>
        <w:gridCol w:w="12234"/>
      </w:tblGrid>
      <w:tr w:rsidR="0045669E" w:rsidRPr="0009215B" w14:paraId="181E639F" w14:textId="77777777" w:rsidTr="00E828E4">
        <w:tc>
          <w:tcPr>
            <w:tcW w:w="749" w:type="pct"/>
            <w:shd w:val="clear" w:color="auto" w:fill="2F5496" w:themeFill="accent5" w:themeFillShade="BF"/>
          </w:tcPr>
          <w:p w14:paraId="791AE7C6" w14:textId="77777777" w:rsidR="0045669E" w:rsidRPr="0009215B" w:rsidRDefault="0045669E" w:rsidP="0086239E">
            <w:pPr>
              <w:jc w:val="center"/>
              <w:rPr>
                <w:rFonts w:ascii="Arial Rounded MT Bold" w:hAnsi="Arial Rounded MT Bold" w:cs="Arial"/>
                <w:color w:val="FFFFFF" w:themeColor="background1"/>
                <w:sz w:val="21"/>
                <w:szCs w:val="21"/>
                <w:lang w:val="en-US"/>
              </w:rPr>
            </w:pPr>
            <w:r w:rsidRPr="0009215B">
              <w:rPr>
                <w:rFonts w:ascii="Arial Rounded MT Bold" w:hAnsi="Arial Rounded MT Bold" w:cs="Arial"/>
                <w:color w:val="FFFFFF" w:themeColor="background1"/>
                <w:sz w:val="21"/>
                <w:szCs w:val="21"/>
                <w:lang w:val="en-US"/>
              </w:rPr>
              <w:t>Typical Amount and Duration</w:t>
            </w:r>
          </w:p>
        </w:tc>
        <w:tc>
          <w:tcPr>
            <w:tcW w:w="4251" w:type="pct"/>
            <w:shd w:val="clear" w:color="auto" w:fill="2F5496" w:themeFill="accent5" w:themeFillShade="BF"/>
          </w:tcPr>
          <w:p w14:paraId="183A8574" w14:textId="10F71AC3" w:rsidR="0045669E" w:rsidRPr="0009215B" w:rsidRDefault="00615385" w:rsidP="0086239E">
            <w:pPr>
              <w:jc w:val="center"/>
              <w:rPr>
                <w:rFonts w:ascii="Arial Rounded MT Bold" w:hAnsi="Arial Rounded MT Bold" w:cs="Arial"/>
                <w:color w:val="FFFFFF" w:themeColor="background1"/>
                <w:sz w:val="21"/>
                <w:szCs w:val="21"/>
                <w:lang w:val="en-US"/>
              </w:rPr>
            </w:pPr>
            <w:r w:rsidRPr="0009215B">
              <w:rPr>
                <w:rFonts w:ascii="Arial Rounded MT Bold" w:hAnsi="Arial Rounded MT Bold" w:cs="Arial"/>
                <w:color w:val="FFFFFF" w:themeColor="background1"/>
                <w:sz w:val="21"/>
                <w:szCs w:val="21"/>
                <w:lang w:val="en-US"/>
              </w:rPr>
              <w:t>Financial Characteristics</w:t>
            </w:r>
          </w:p>
        </w:tc>
      </w:tr>
      <w:tr w:rsidR="0045669E" w:rsidRPr="0009215B" w14:paraId="331D5363" w14:textId="77777777" w:rsidTr="00E828E4">
        <w:tc>
          <w:tcPr>
            <w:tcW w:w="749" w:type="pct"/>
          </w:tcPr>
          <w:p w14:paraId="60E0923E" w14:textId="77777777" w:rsidR="0045669E" w:rsidRPr="0009215B" w:rsidRDefault="0076149F" w:rsidP="0086239E">
            <w:pPr>
              <w:pStyle w:val="ListParagraph"/>
              <w:numPr>
                <w:ilvl w:val="0"/>
                <w:numId w:val="1"/>
              </w:numPr>
              <w:rPr>
                <w:rFonts w:cs="Arial"/>
                <w:sz w:val="21"/>
                <w:szCs w:val="21"/>
                <w:lang w:val="en-US"/>
              </w:rPr>
            </w:pPr>
            <w:r w:rsidRPr="0009215B">
              <w:rPr>
                <w:rFonts w:cs="Arial"/>
                <w:sz w:val="21"/>
                <w:szCs w:val="21"/>
                <w:lang w:val="en-US"/>
              </w:rPr>
              <w:t>Amount ranges from $1M to $4M</w:t>
            </w:r>
          </w:p>
          <w:p w14:paraId="2257394E" w14:textId="77777777" w:rsidR="0076149F" w:rsidRPr="0009215B" w:rsidRDefault="0076149F" w:rsidP="0086239E">
            <w:pPr>
              <w:pStyle w:val="ListParagraph"/>
              <w:numPr>
                <w:ilvl w:val="0"/>
                <w:numId w:val="1"/>
              </w:numPr>
              <w:rPr>
                <w:rFonts w:cs="Arial"/>
                <w:sz w:val="21"/>
                <w:szCs w:val="21"/>
                <w:lang w:val="en-US"/>
              </w:rPr>
            </w:pPr>
            <w:r w:rsidRPr="0009215B">
              <w:rPr>
                <w:rFonts w:cs="Arial"/>
                <w:sz w:val="21"/>
                <w:szCs w:val="21"/>
                <w:lang w:val="en-US"/>
              </w:rPr>
              <w:t>Typically 5 years or more</w:t>
            </w:r>
          </w:p>
        </w:tc>
        <w:tc>
          <w:tcPr>
            <w:tcW w:w="4251" w:type="pct"/>
          </w:tcPr>
          <w:p w14:paraId="67F08472" w14:textId="77777777" w:rsidR="0009215B" w:rsidRPr="0009215B" w:rsidRDefault="0009215B" w:rsidP="0076149F">
            <w:pPr>
              <w:pStyle w:val="ListParagraph"/>
              <w:numPr>
                <w:ilvl w:val="0"/>
                <w:numId w:val="1"/>
              </w:numPr>
              <w:rPr>
                <w:rFonts w:cs="Arial"/>
                <w:sz w:val="21"/>
                <w:szCs w:val="21"/>
                <w:lang w:val="en-US"/>
              </w:rPr>
            </w:pPr>
            <w:r w:rsidRPr="0009215B">
              <w:rPr>
                <w:rFonts w:cs="Arial"/>
                <w:sz w:val="21"/>
                <w:szCs w:val="21"/>
                <w:lang w:val="en-US"/>
              </w:rPr>
              <w:t xml:space="preserve">Funding supports the </w:t>
            </w:r>
            <w:r w:rsidR="004200FB" w:rsidRPr="0009215B">
              <w:rPr>
                <w:rFonts w:cs="Arial"/>
                <w:sz w:val="21"/>
                <w:szCs w:val="21"/>
                <w:lang w:val="en-US"/>
              </w:rPr>
              <w:t>direct</w:t>
            </w:r>
            <w:r w:rsidR="0093658C" w:rsidRPr="0009215B">
              <w:rPr>
                <w:rFonts w:cs="Arial"/>
                <w:sz w:val="21"/>
                <w:szCs w:val="21"/>
                <w:lang w:val="en-US"/>
              </w:rPr>
              <w:t xml:space="preserve"> and indirect (overhead) costs of research</w:t>
            </w:r>
            <w:r w:rsidR="004200FB" w:rsidRPr="0009215B">
              <w:rPr>
                <w:rFonts w:cs="Arial"/>
                <w:sz w:val="21"/>
                <w:szCs w:val="21"/>
                <w:lang w:val="en-US"/>
              </w:rPr>
              <w:t xml:space="preserve">. </w:t>
            </w:r>
          </w:p>
          <w:p w14:paraId="073E2494" w14:textId="613DD2F4" w:rsidR="00AF6831" w:rsidRPr="0009215B" w:rsidRDefault="004200FB" w:rsidP="0076149F">
            <w:pPr>
              <w:pStyle w:val="ListParagraph"/>
              <w:numPr>
                <w:ilvl w:val="0"/>
                <w:numId w:val="1"/>
              </w:numPr>
              <w:rPr>
                <w:rFonts w:cs="Arial"/>
                <w:sz w:val="21"/>
                <w:szCs w:val="21"/>
                <w:lang w:val="en-US"/>
              </w:rPr>
            </w:pPr>
            <w:r w:rsidRPr="0009215B">
              <w:rPr>
                <w:rFonts w:cs="Arial"/>
                <w:sz w:val="21"/>
                <w:szCs w:val="21"/>
                <w:lang w:val="en-US"/>
              </w:rPr>
              <w:t>Facilities and equipment cost</w:t>
            </w:r>
            <w:r w:rsidR="0009215B" w:rsidRPr="0009215B">
              <w:rPr>
                <w:rFonts w:cs="Arial"/>
                <w:sz w:val="21"/>
                <w:szCs w:val="21"/>
                <w:lang w:val="en-US"/>
              </w:rPr>
              <w:t>s</w:t>
            </w:r>
            <w:r w:rsidRPr="0009215B">
              <w:rPr>
                <w:rFonts w:cs="Arial"/>
                <w:sz w:val="21"/>
                <w:szCs w:val="21"/>
                <w:lang w:val="en-US"/>
              </w:rPr>
              <w:t xml:space="preserve"> up to 10% of total direct costs; Management and Administration costs up to 5% of total direct costs. </w:t>
            </w:r>
          </w:p>
          <w:p w14:paraId="760E00ED" w14:textId="36CEF35D" w:rsidR="008D0A7B" w:rsidRPr="0009215B" w:rsidRDefault="008D0A7B" w:rsidP="0076149F">
            <w:pPr>
              <w:pStyle w:val="ListParagraph"/>
              <w:numPr>
                <w:ilvl w:val="0"/>
                <w:numId w:val="1"/>
              </w:numPr>
              <w:rPr>
                <w:rFonts w:cs="Arial"/>
                <w:sz w:val="21"/>
                <w:szCs w:val="21"/>
                <w:lang w:val="en-US"/>
              </w:rPr>
            </w:pPr>
            <w:r w:rsidRPr="0009215B">
              <w:rPr>
                <w:rFonts w:cs="Arial"/>
                <w:sz w:val="21"/>
                <w:szCs w:val="21"/>
                <w:lang w:val="en-US"/>
              </w:rPr>
              <w:t xml:space="preserve">Funding source: </w:t>
            </w:r>
            <w:r w:rsidRPr="0009215B">
              <w:rPr>
                <w:rFonts w:cs="Arial"/>
                <w:sz w:val="21"/>
                <w:szCs w:val="21"/>
              </w:rPr>
              <w:t xml:space="preserve"> the Ontario government and the Canada Foundation for Innovation. Each provides up to 40% of eligible costs. The remaining 20% needs to come from private funding partners and/or </w:t>
            </w:r>
            <w:r w:rsidR="007223D6" w:rsidRPr="0009215B">
              <w:rPr>
                <w:rFonts w:cs="Arial"/>
                <w:sz w:val="21"/>
                <w:szCs w:val="21"/>
              </w:rPr>
              <w:t>UOIT</w:t>
            </w:r>
            <w:r w:rsidRPr="0009215B">
              <w:rPr>
                <w:rFonts w:cs="Arial"/>
                <w:sz w:val="21"/>
                <w:szCs w:val="21"/>
              </w:rPr>
              <w:t>.</w:t>
            </w:r>
          </w:p>
          <w:p w14:paraId="18AC1530" w14:textId="52FDFCD6" w:rsidR="000D470D" w:rsidRPr="0009215B" w:rsidRDefault="0009215B" w:rsidP="00326166">
            <w:pPr>
              <w:pStyle w:val="ListParagraph"/>
              <w:numPr>
                <w:ilvl w:val="0"/>
                <w:numId w:val="1"/>
              </w:numPr>
              <w:rPr>
                <w:rFonts w:cs="Arial"/>
                <w:sz w:val="21"/>
                <w:szCs w:val="21"/>
                <w:lang w:val="en-US"/>
              </w:rPr>
            </w:pPr>
            <w:r w:rsidRPr="0009215B">
              <w:rPr>
                <w:rFonts w:cs="Arial"/>
                <w:sz w:val="21"/>
                <w:szCs w:val="21"/>
              </w:rPr>
              <w:t>F</w:t>
            </w:r>
            <w:r w:rsidR="000D470D" w:rsidRPr="0009215B">
              <w:rPr>
                <w:rFonts w:cs="Arial"/>
                <w:sz w:val="21"/>
                <w:szCs w:val="21"/>
              </w:rPr>
              <w:t>unds are always subject to audit</w:t>
            </w:r>
            <w:r w:rsidRPr="0009215B">
              <w:rPr>
                <w:rFonts w:cs="Arial"/>
                <w:sz w:val="21"/>
                <w:szCs w:val="21"/>
              </w:rPr>
              <w:t xml:space="preserve"> – requires significant effort from a Research Finance perspective</w:t>
            </w:r>
            <w:r w:rsidR="000D470D" w:rsidRPr="0009215B">
              <w:rPr>
                <w:rFonts w:cs="Arial"/>
                <w:sz w:val="21"/>
                <w:szCs w:val="21"/>
              </w:rPr>
              <w:t xml:space="preserve">. </w:t>
            </w:r>
          </w:p>
          <w:p w14:paraId="1CB589AA" w14:textId="07486D00" w:rsidR="000D470D" w:rsidRPr="0009215B" w:rsidRDefault="000D470D" w:rsidP="0086239E">
            <w:pPr>
              <w:pStyle w:val="ListParagraph"/>
              <w:numPr>
                <w:ilvl w:val="0"/>
                <w:numId w:val="1"/>
              </w:numPr>
              <w:rPr>
                <w:rFonts w:cs="Arial"/>
                <w:color w:val="000000"/>
                <w:sz w:val="21"/>
                <w:szCs w:val="21"/>
              </w:rPr>
            </w:pPr>
            <w:r w:rsidRPr="0009215B">
              <w:rPr>
                <w:rFonts w:cs="Arial"/>
                <w:sz w:val="21"/>
                <w:szCs w:val="21"/>
                <w:lang w:val="en-US"/>
              </w:rPr>
              <w:t xml:space="preserve">Budget allocation: </w:t>
            </w:r>
            <w:r w:rsidRPr="0009215B">
              <w:rPr>
                <w:rFonts w:cs="Arial"/>
                <w:color w:val="000000"/>
                <w:sz w:val="21"/>
                <w:szCs w:val="21"/>
              </w:rPr>
              <w:t>specific line items</w:t>
            </w:r>
            <w:r w:rsidR="00770BF6" w:rsidRPr="0009215B">
              <w:rPr>
                <w:rFonts w:cs="Arial"/>
                <w:color w:val="000000"/>
                <w:sz w:val="21"/>
                <w:szCs w:val="21"/>
              </w:rPr>
              <w:t xml:space="preserve"> as proposed in original budget</w:t>
            </w:r>
            <w:r w:rsidRPr="0009215B">
              <w:rPr>
                <w:rFonts w:cs="Arial"/>
                <w:color w:val="000000"/>
                <w:sz w:val="21"/>
                <w:szCs w:val="21"/>
              </w:rPr>
              <w:t>, can ask to re-allocate (with justification), subject to reimbursement once we prepare and submit report (report is quar</w:t>
            </w:r>
            <w:r w:rsidR="00540675" w:rsidRPr="0009215B">
              <w:rPr>
                <w:rFonts w:cs="Arial"/>
                <w:color w:val="000000"/>
                <w:sz w:val="21"/>
                <w:szCs w:val="21"/>
              </w:rPr>
              <w:t>terly, due 30 days after the quarter</w:t>
            </w:r>
            <w:r w:rsidRPr="0009215B">
              <w:rPr>
                <w:rFonts w:cs="Arial"/>
                <w:color w:val="000000"/>
                <w:sz w:val="21"/>
                <w:szCs w:val="21"/>
              </w:rPr>
              <w:t xml:space="preserve"> closes). </w:t>
            </w:r>
          </w:p>
          <w:p w14:paraId="698F2222" w14:textId="3B8E90ED" w:rsidR="000D470D" w:rsidRPr="0009215B" w:rsidRDefault="0009215B" w:rsidP="0009215B">
            <w:pPr>
              <w:pStyle w:val="ListParagraph"/>
              <w:numPr>
                <w:ilvl w:val="0"/>
                <w:numId w:val="1"/>
              </w:numPr>
              <w:rPr>
                <w:rFonts w:cs="Arial"/>
                <w:sz w:val="21"/>
                <w:szCs w:val="21"/>
                <w:lang w:val="en-US"/>
              </w:rPr>
            </w:pPr>
            <w:r w:rsidRPr="0009215B">
              <w:rPr>
                <w:rFonts w:cs="Arial"/>
                <w:color w:val="000000"/>
                <w:sz w:val="21"/>
                <w:szCs w:val="21"/>
              </w:rPr>
              <w:t>Requires c</w:t>
            </w:r>
            <w:r w:rsidR="000D470D" w:rsidRPr="0009215B">
              <w:rPr>
                <w:rFonts w:cs="Arial"/>
                <w:color w:val="000000"/>
                <w:sz w:val="21"/>
                <w:szCs w:val="21"/>
              </w:rPr>
              <w:t>ertification for in-kind</w:t>
            </w:r>
            <w:r w:rsidR="00EA0ABC" w:rsidRPr="0009215B">
              <w:rPr>
                <w:rFonts w:cs="Arial"/>
                <w:color w:val="000000"/>
                <w:sz w:val="21"/>
                <w:szCs w:val="21"/>
              </w:rPr>
              <w:t xml:space="preserve"> </w:t>
            </w:r>
            <w:r w:rsidRPr="0009215B">
              <w:rPr>
                <w:rFonts w:cs="Arial"/>
                <w:color w:val="000000"/>
                <w:sz w:val="21"/>
                <w:szCs w:val="21"/>
              </w:rPr>
              <w:t>contributions</w:t>
            </w:r>
          </w:p>
        </w:tc>
      </w:tr>
    </w:tbl>
    <w:p w14:paraId="0CE0746B" w14:textId="77777777" w:rsidR="00B754AB" w:rsidRPr="0009215B" w:rsidRDefault="00B754AB" w:rsidP="00F85329">
      <w:pPr>
        <w:spacing w:after="120"/>
        <w:rPr>
          <w:rFonts w:ascii="Arial Rounded MT Bold" w:hAnsi="Arial Rounded MT Bold"/>
          <w:color w:val="1F4E79" w:themeColor="accent1" w:themeShade="80"/>
          <w:sz w:val="21"/>
          <w:szCs w:val="21"/>
          <w:lang w:val="en-US"/>
        </w:rPr>
      </w:pPr>
    </w:p>
    <w:p w14:paraId="410C41DA" w14:textId="34E40940" w:rsidR="00F85329" w:rsidRPr="0009215B" w:rsidRDefault="00D047E6" w:rsidP="00B151D3">
      <w:pPr>
        <w:spacing w:after="120" w:line="240" w:lineRule="auto"/>
        <w:rPr>
          <w:rFonts w:ascii="Arial Rounded MT Bold" w:hAnsi="Arial Rounded MT Bold"/>
          <w:color w:val="1F4E79" w:themeColor="accent1" w:themeShade="80"/>
          <w:sz w:val="21"/>
          <w:szCs w:val="21"/>
          <w:lang w:val="en-US"/>
        </w:rPr>
      </w:pPr>
      <w:hyperlink r:id="rId21" w:history="1">
        <w:r w:rsidR="00F85329" w:rsidRPr="0009215B">
          <w:rPr>
            <w:rStyle w:val="Hyperlink"/>
            <w:rFonts w:ascii="Arial Rounded MT Bold" w:hAnsi="Arial Rounded MT Bold"/>
            <w:sz w:val="21"/>
            <w:szCs w:val="21"/>
            <w:lang w:val="en-US"/>
          </w:rPr>
          <w:t>N</w:t>
        </w:r>
        <w:r w:rsidR="00594125" w:rsidRPr="0009215B">
          <w:rPr>
            <w:rStyle w:val="Hyperlink"/>
            <w:rFonts w:ascii="Arial Rounded MT Bold" w:hAnsi="Arial Rounded MT Bold"/>
            <w:sz w:val="21"/>
            <w:szCs w:val="21"/>
            <w:lang w:val="en-US"/>
          </w:rPr>
          <w:t xml:space="preserve">etworks of </w:t>
        </w:r>
        <w:proofErr w:type="spellStart"/>
        <w:r w:rsidR="00F85329" w:rsidRPr="0009215B">
          <w:rPr>
            <w:rStyle w:val="Hyperlink"/>
            <w:rFonts w:ascii="Arial Rounded MT Bold" w:hAnsi="Arial Rounded MT Bold"/>
            <w:sz w:val="21"/>
            <w:szCs w:val="21"/>
            <w:lang w:val="en-US"/>
          </w:rPr>
          <w:t>C</w:t>
        </w:r>
        <w:r w:rsidR="006642B8" w:rsidRPr="0009215B">
          <w:rPr>
            <w:rStyle w:val="Hyperlink"/>
            <w:rFonts w:ascii="Arial Rounded MT Bold" w:hAnsi="Arial Rounded MT Bold"/>
            <w:sz w:val="21"/>
            <w:szCs w:val="21"/>
            <w:lang w:val="en-US"/>
          </w:rPr>
          <w:t>entre</w:t>
        </w:r>
        <w:r w:rsidR="00594125" w:rsidRPr="0009215B">
          <w:rPr>
            <w:rStyle w:val="Hyperlink"/>
            <w:rFonts w:ascii="Arial Rounded MT Bold" w:hAnsi="Arial Rounded MT Bold"/>
            <w:sz w:val="21"/>
            <w:szCs w:val="21"/>
            <w:lang w:val="en-US"/>
          </w:rPr>
          <w:t>s</w:t>
        </w:r>
        <w:proofErr w:type="spellEnd"/>
        <w:r w:rsidR="006642B8" w:rsidRPr="0009215B">
          <w:rPr>
            <w:rStyle w:val="Hyperlink"/>
            <w:rFonts w:ascii="Arial Rounded MT Bold" w:hAnsi="Arial Rounded MT Bold"/>
            <w:sz w:val="21"/>
            <w:szCs w:val="21"/>
            <w:lang w:val="en-US"/>
          </w:rPr>
          <w:t xml:space="preserve"> of </w:t>
        </w:r>
        <w:r w:rsidR="00F85329" w:rsidRPr="0009215B">
          <w:rPr>
            <w:rStyle w:val="Hyperlink"/>
            <w:rFonts w:ascii="Arial Rounded MT Bold" w:hAnsi="Arial Rounded MT Bold"/>
            <w:sz w:val="21"/>
            <w:szCs w:val="21"/>
            <w:lang w:val="en-US"/>
          </w:rPr>
          <w:t>E</w:t>
        </w:r>
      </w:hyperlink>
      <w:r w:rsidR="006642B8" w:rsidRPr="0009215B">
        <w:rPr>
          <w:rStyle w:val="Hyperlink"/>
          <w:rFonts w:ascii="Arial Rounded MT Bold" w:hAnsi="Arial Rounded MT Bold"/>
          <w:sz w:val="21"/>
          <w:szCs w:val="21"/>
          <w:lang w:val="en-US"/>
        </w:rPr>
        <w:t>xcellence</w:t>
      </w:r>
      <w:r w:rsidR="00594125" w:rsidRPr="0009215B">
        <w:rPr>
          <w:rStyle w:val="Hyperlink"/>
          <w:rFonts w:ascii="Arial Rounded MT Bold" w:hAnsi="Arial Rounded MT Bold"/>
          <w:sz w:val="21"/>
          <w:szCs w:val="21"/>
          <w:lang w:val="en-US"/>
        </w:rPr>
        <w:t xml:space="preserve"> of Canada</w:t>
      </w:r>
      <w:r w:rsidR="006642B8" w:rsidRPr="0009215B">
        <w:rPr>
          <w:rStyle w:val="Hyperlink"/>
          <w:rFonts w:ascii="Arial Rounded MT Bold" w:hAnsi="Arial Rounded MT Bold"/>
          <w:sz w:val="21"/>
          <w:szCs w:val="21"/>
          <w:lang w:val="en-US"/>
        </w:rPr>
        <w:t xml:space="preserve"> (NCE)</w:t>
      </w:r>
    </w:p>
    <w:tbl>
      <w:tblPr>
        <w:tblStyle w:val="TableGrid"/>
        <w:tblW w:w="5000" w:type="pct"/>
        <w:tblLook w:val="04A0" w:firstRow="1" w:lastRow="0" w:firstColumn="1" w:lastColumn="0" w:noHBand="0" w:noVBand="1"/>
      </w:tblPr>
      <w:tblGrid>
        <w:gridCol w:w="2245"/>
        <w:gridCol w:w="12145"/>
      </w:tblGrid>
      <w:tr w:rsidR="0045669E" w:rsidRPr="0009215B" w14:paraId="14169164" w14:textId="77777777" w:rsidTr="00E828E4">
        <w:tc>
          <w:tcPr>
            <w:tcW w:w="780" w:type="pct"/>
            <w:shd w:val="clear" w:color="auto" w:fill="2F5496" w:themeFill="accent5" w:themeFillShade="BF"/>
          </w:tcPr>
          <w:p w14:paraId="0E471407" w14:textId="77777777" w:rsidR="0045669E" w:rsidRPr="0009215B" w:rsidRDefault="0045669E" w:rsidP="007F6EC0">
            <w:pPr>
              <w:jc w:val="center"/>
              <w:rPr>
                <w:rFonts w:ascii="Arial Rounded MT Bold" w:hAnsi="Arial Rounded MT Bold" w:cs="Arial"/>
                <w:color w:val="FFFFFF" w:themeColor="background1"/>
                <w:sz w:val="21"/>
                <w:szCs w:val="21"/>
                <w:lang w:val="en-US"/>
              </w:rPr>
            </w:pPr>
            <w:r w:rsidRPr="0009215B">
              <w:rPr>
                <w:rFonts w:ascii="Arial Rounded MT Bold" w:hAnsi="Arial Rounded MT Bold" w:cs="Arial"/>
                <w:color w:val="FFFFFF" w:themeColor="background1"/>
                <w:sz w:val="21"/>
                <w:szCs w:val="21"/>
                <w:lang w:val="en-US"/>
              </w:rPr>
              <w:t>Typical Amount and Duration</w:t>
            </w:r>
          </w:p>
        </w:tc>
        <w:tc>
          <w:tcPr>
            <w:tcW w:w="4220" w:type="pct"/>
            <w:shd w:val="clear" w:color="auto" w:fill="2F5496" w:themeFill="accent5" w:themeFillShade="BF"/>
          </w:tcPr>
          <w:p w14:paraId="57D7FD20" w14:textId="18CEDD18" w:rsidR="0045669E" w:rsidRPr="0009215B" w:rsidRDefault="00615385" w:rsidP="0086239E">
            <w:pPr>
              <w:jc w:val="center"/>
              <w:rPr>
                <w:rFonts w:ascii="Arial Rounded MT Bold" w:hAnsi="Arial Rounded MT Bold" w:cs="Arial"/>
                <w:color w:val="FFFFFF" w:themeColor="background1"/>
                <w:sz w:val="21"/>
                <w:szCs w:val="21"/>
                <w:lang w:val="en-US"/>
              </w:rPr>
            </w:pPr>
            <w:r w:rsidRPr="0009215B">
              <w:rPr>
                <w:rFonts w:ascii="Arial Rounded MT Bold" w:hAnsi="Arial Rounded MT Bold" w:cs="Arial"/>
                <w:color w:val="FFFFFF" w:themeColor="background1"/>
                <w:sz w:val="21"/>
                <w:szCs w:val="21"/>
                <w:lang w:val="en-US"/>
              </w:rPr>
              <w:t>Financial Characteristics</w:t>
            </w:r>
          </w:p>
        </w:tc>
      </w:tr>
      <w:tr w:rsidR="0045669E" w:rsidRPr="0009215B" w14:paraId="4F91B352" w14:textId="77777777" w:rsidTr="00E828E4">
        <w:tc>
          <w:tcPr>
            <w:tcW w:w="780" w:type="pct"/>
          </w:tcPr>
          <w:p w14:paraId="40D457DC" w14:textId="70A44277" w:rsidR="0045669E" w:rsidRPr="0009215B" w:rsidRDefault="0045669E" w:rsidP="0086239E">
            <w:pPr>
              <w:pStyle w:val="ListParagraph"/>
              <w:numPr>
                <w:ilvl w:val="0"/>
                <w:numId w:val="1"/>
              </w:numPr>
              <w:rPr>
                <w:rFonts w:cs="Arial"/>
                <w:sz w:val="21"/>
                <w:szCs w:val="21"/>
                <w:lang w:val="en-US"/>
              </w:rPr>
            </w:pPr>
            <w:r w:rsidRPr="0009215B">
              <w:rPr>
                <w:rFonts w:cs="Arial"/>
                <w:sz w:val="21"/>
                <w:szCs w:val="21"/>
                <w:lang w:val="en-US"/>
              </w:rPr>
              <w:t xml:space="preserve">Grant amount </w:t>
            </w:r>
            <w:r w:rsidR="00CA7985" w:rsidRPr="0009215B">
              <w:rPr>
                <w:rFonts w:cs="Arial"/>
                <w:sz w:val="21"/>
                <w:szCs w:val="21"/>
                <w:lang w:val="en-US"/>
              </w:rPr>
              <w:t xml:space="preserve">varies </w:t>
            </w:r>
          </w:p>
          <w:p w14:paraId="2D3B650B" w14:textId="77777777" w:rsidR="0045669E" w:rsidRPr="0009215B" w:rsidRDefault="007F7227" w:rsidP="0086239E">
            <w:pPr>
              <w:pStyle w:val="ListParagraph"/>
              <w:numPr>
                <w:ilvl w:val="0"/>
                <w:numId w:val="1"/>
              </w:numPr>
              <w:rPr>
                <w:rFonts w:cs="Arial"/>
                <w:sz w:val="21"/>
                <w:szCs w:val="21"/>
                <w:lang w:val="en-US"/>
              </w:rPr>
            </w:pPr>
            <w:r w:rsidRPr="0009215B">
              <w:rPr>
                <w:rFonts w:cs="Arial"/>
                <w:sz w:val="21"/>
                <w:szCs w:val="21"/>
                <w:lang w:val="en-US"/>
              </w:rPr>
              <w:t>Networks receive funding over 5-year funding cycles</w:t>
            </w:r>
          </w:p>
        </w:tc>
        <w:tc>
          <w:tcPr>
            <w:tcW w:w="4220" w:type="pct"/>
          </w:tcPr>
          <w:p w14:paraId="5AA033D5" w14:textId="77777777" w:rsidR="00DA4F8F" w:rsidRPr="0009215B" w:rsidRDefault="00DA4F8F" w:rsidP="0086239E">
            <w:pPr>
              <w:pStyle w:val="ListParagraph"/>
              <w:numPr>
                <w:ilvl w:val="0"/>
                <w:numId w:val="1"/>
              </w:numPr>
              <w:rPr>
                <w:rFonts w:cs="Arial"/>
                <w:sz w:val="21"/>
                <w:szCs w:val="21"/>
                <w:lang w:val="en-US"/>
              </w:rPr>
            </w:pPr>
            <w:r w:rsidRPr="0009215B">
              <w:rPr>
                <w:rFonts w:cs="Arial"/>
                <w:sz w:val="21"/>
                <w:szCs w:val="21"/>
                <w:lang w:val="en-US"/>
              </w:rPr>
              <w:t>Collaborative programs between CIHR, NSERC, and SSHRC</w:t>
            </w:r>
            <w:r w:rsidR="00030529" w:rsidRPr="0009215B">
              <w:rPr>
                <w:rFonts w:cs="Arial"/>
                <w:sz w:val="21"/>
                <w:szCs w:val="21"/>
                <w:lang w:val="en-US"/>
              </w:rPr>
              <w:t>. Granting agencies make payments on behalf of NCE</w:t>
            </w:r>
          </w:p>
          <w:p w14:paraId="4EF14E3E" w14:textId="62C8E223" w:rsidR="00DA4F8F" w:rsidRPr="0009215B" w:rsidRDefault="00DA4F8F" w:rsidP="0086239E">
            <w:pPr>
              <w:pStyle w:val="ListParagraph"/>
              <w:numPr>
                <w:ilvl w:val="0"/>
                <w:numId w:val="1"/>
              </w:numPr>
              <w:rPr>
                <w:rFonts w:cs="Arial"/>
                <w:sz w:val="21"/>
                <w:szCs w:val="21"/>
                <w:lang w:val="en-US"/>
              </w:rPr>
            </w:pPr>
            <w:r w:rsidRPr="0009215B">
              <w:rPr>
                <w:rFonts w:cs="Arial"/>
                <w:sz w:val="21"/>
                <w:szCs w:val="21"/>
                <w:lang w:val="en-US"/>
              </w:rPr>
              <w:t>Funding agreement sets terms and conditions of th</w:t>
            </w:r>
            <w:r w:rsidR="00030529" w:rsidRPr="0009215B">
              <w:rPr>
                <w:rFonts w:cs="Arial"/>
                <w:sz w:val="21"/>
                <w:szCs w:val="21"/>
                <w:lang w:val="en-US"/>
              </w:rPr>
              <w:t>e grant and cannot be modified</w:t>
            </w:r>
            <w:r w:rsidR="006642B8" w:rsidRPr="0009215B">
              <w:rPr>
                <w:rFonts w:cs="Arial"/>
                <w:sz w:val="21"/>
                <w:szCs w:val="21"/>
                <w:lang w:val="en-US"/>
              </w:rPr>
              <w:t>.</w:t>
            </w:r>
          </w:p>
          <w:p w14:paraId="1A536E87" w14:textId="77777777" w:rsidR="0045669E" w:rsidRPr="0009215B" w:rsidRDefault="00DD2847" w:rsidP="0086239E">
            <w:pPr>
              <w:pStyle w:val="ListParagraph"/>
              <w:numPr>
                <w:ilvl w:val="0"/>
                <w:numId w:val="1"/>
              </w:numPr>
              <w:rPr>
                <w:rFonts w:cs="Arial"/>
                <w:sz w:val="21"/>
                <w:szCs w:val="21"/>
                <w:lang w:val="en-US"/>
              </w:rPr>
            </w:pPr>
            <w:r w:rsidRPr="0009215B">
              <w:rPr>
                <w:rFonts w:cs="Arial"/>
                <w:sz w:val="21"/>
                <w:szCs w:val="21"/>
                <w:lang w:val="en-US"/>
              </w:rPr>
              <w:t xml:space="preserve">Can apply for renewal based on mandate and apply for additional funding prior to the end of a funding cycle. </w:t>
            </w:r>
          </w:p>
          <w:p w14:paraId="3EF4C761" w14:textId="73C6D164" w:rsidR="00A97ADE" w:rsidRPr="0009215B" w:rsidRDefault="00CA7985" w:rsidP="00A6277D">
            <w:pPr>
              <w:pStyle w:val="ListParagraph"/>
              <w:numPr>
                <w:ilvl w:val="0"/>
                <w:numId w:val="1"/>
              </w:numPr>
              <w:rPr>
                <w:rFonts w:cs="Arial"/>
                <w:sz w:val="21"/>
                <w:szCs w:val="21"/>
                <w:lang w:val="en-US"/>
              </w:rPr>
            </w:pPr>
            <w:r w:rsidRPr="0009215B">
              <w:rPr>
                <w:rFonts w:cs="Arial"/>
                <w:sz w:val="21"/>
                <w:szCs w:val="21"/>
                <w:lang w:val="en-US"/>
              </w:rPr>
              <w:t xml:space="preserve">Financial reporting – </w:t>
            </w:r>
            <w:r w:rsidR="00B15CFF" w:rsidRPr="0009215B">
              <w:rPr>
                <w:rFonts w:cs="Arial"/>
                <w:sz w:val="21"/>
                <w:szCs w:val="21"/>
                <w:lang w:val="en-US"/>
              </w:rPr>
              <w:t>Annual Statement of Account (Form 300) due June 30th.</w:t>
            </w:r>
          </w:p>
        </w:tc>
      </w:tr>
    </w:tbl>
    <w:p w14:paraId="23993DE3" w14:textId="77777777" w:rsidR="00F85329" w:rsidRPr="0009215B" w:rsidRDefault="00F85329" w:rsidP="00F85329">
      <w:pPr>
        <w:spacing w:after="120"/>
        <w:rPr>
          <w:rFonts w:ascii="Arial Rounded MT Bold" w:hAnsi="Arial Rounded MT Bold"/>
          <w:color w:val="1F4E79" w:themeColor="accent1" w:themeShade="80"/>
          <w:sz w:val="21"/>
          <w:szCs w:val="21"/>
          <w:lang w:val="en-US"/>
        </w:rPr>
      </w:pPr>
    </w:p>
    <w:p w14:paraId="48E7F2EC" w14:textId="77777777" w:rsidR="00F85329" w:rsidRPr="0009215B" w:rsidRDefault="00D047E6" w:rsidP="00F85329">
      <w:pPr>
        <w:spacing w:after="120"/>
        <w:rPr>
          <w:rFonts w:ascii="Arial Rounded MT Bold" w:hAnsi="Arial Rounded MT Bold"/>
          <w:color w:val="1F4E79" w:themeColor="accent1" w:themeShade="80"/>
          <w:sz w:val="21"/>
          <w:szCs w:val="21"/>
          <w:lang w:val="en-US"/>
        </w:rPr>
      </w:pPr>
      <w:hyperlink r:id="rId22" w:history="1">
        <w:r w:rsidR="00F85329" w:rsidRPr="0009215B">
          <w:rPr>
            <w:rStyle w:val="Hyperlink"/>
            <w:rFonts w:ascii="Arial Rounded MT Bold" w:hAnsi="Arial Rounded MT Bold"/>
            <w:sz w:val="21"/>
            <w:szCs w:val="21"/>
            <w:lang w:val="en-US"/>
          </w:rPr>
          <w:t>MITACS</w:t>
        </w:r>
      </w:hyperlink>
      <w:r w:rsidR="00F85329" w:rsidRPr="0009215B">
        <w:rPr>
          <w:rFonts w:ascii="Arial Rounded MT Bold" w:hAnsi="Arial Rounded MT Bold"/>
          <w:color w:val="1F4E79" w:themeColor="accent1" w:themeShade="80"/>
          <w:sz w:val="21"/>
          <w:szCs w:val="21"/>
          <w:lang w:val="en-US"/>
        </w:rPr>
        <w:t xml:space="preserve"> </w:t>
      </w:r>
    </w:p>
    <w:tbl>
      <w:tblPr>
        <w:tblStyle w:val="TableGrid"/>
        <w:tblW w:w="5000" w:type="pct"/>
        <w:tblLook w:val="04A0" w:firstRow="1" w:lastRow="0" w:firstColumn="1" w:lastColumn="0" w:noHBand="0" w:noVBand="1"/>
      </w:tblPr>
      <w:tblGrid>
        <w:gridCol w:w="2245"/>
        <w:gridCol w:w="12145"/>
      </w:tblGrid>
      <w:tr w:rsidR="000F04DD" w:rsidRPr="0009215B" w14:paraId="349F18F9" w14:textId="77777777" w:rsidTr="00E828E4">
        <w:tc>
          <w:tcPr>
            <w:tcW w:w="780" w:type="pct"/>
            <w:shd w:val="clear" w:color="auto" w:fill="2F5496" w:themeFill="accent5" w:themeFillShade="BF"/>
          </w:tcPr>
          <w:p w14:paraId="055F3030" w14:textId="77777777" w:rsidR="000F04DD" w:rsidRPr="0009215B" w:rsidRDefault="000F04DD" w:rsidP="007F6EC0">
            <w:pPr>
              <w:jc w:val="center"/>
              <w:rPr>
                <w:rFonts w:ascii="Arial Rounded MT Bold" w:hAnsi="Arial Rounded MT Bold" w:cs="Arial"/>
                <w:color w:val="FFFFFF" w:themeColor="background1"/>
                <w:sz w:val="21"/>
                <w:szCs w:val="21"/>
                <w:lang w:val="en-US"/>
              </w:rPr>
            </w:pPr>
            <w:r w:rsidRPr="0009215B">
              <w:rPr>
                <w:rFonts w:ascii="Arial Rounded MT Bold" w:hAnsi="Arial Rounded MT Bold" w:cs="Arial"/>
                <w:color w:val="FFFFFF" w:themeColor="background1"/>
                <w:sz w:val="21"/>
                <w:szCs w:val="21"/>
                <w:lang w:val="en-US"/>
              </w:rPr>
              <w:t>Typical Amount and Duration</w:t>
            </w:r>
          </w:p>
        </w:tc>
        <w:tc>
          <w:tcPr>
            <w:tcW w:w="4220" w:type="pct"/>
            <w:shd w:val="clear" w:color="auto" w:fill="2F5496" w:themeFill="accent5" w:themeFillShade="BF"/>
          </w:tcPr>
          <w:p w14:paraId="2FC85CDB" w14:textId="6BC309A6" w:rsidR="000F04DD" w:rsidRPr="0009215B" w:rsidRDefault="00615385" w:rsidP="0086239E">
            <w:pPr>
              <w:jc w:val="center"/>
              <w:rPr>
                <w:rFonts w:ascii="Arial Rounded MT Bold" w:hAnsi="Arial Rounded MT Bold" w:cs="Arial"/>
                <w:color w:val="FFFFFF" w:themeColor="background1"/>
                <w:sz w:val="21"/>
                <w:szCs w:val="21"/>
                <w:lang w:val="en-US"/>
              </w:rPr>
            </w:pPr>
            <w:r w:rsidRPr="0009215B">
              <w:rPr>
                <w:rFonts w:ascii="Arial Rounded MT Bold" w:hAnsi="Arial Rounded MT Bold" w:cs="Arial"/>
                <w:color w:val="FFFFFF" w:themeColor="background1"/>
                <w:sz w:val="21"/>
                <w:szCs w:val="21"/>
                <w:lang w:val="en-US"/>
              </w:rPr>
              <w:t>Financial Characteristics</w:t>
            </w:r>
          </w:p>
        </w:tc>
      </w:tr>
      <w:tr w:rsidR="000F04DD" w:rsidRPr="0009215B" w14:paraId="1B10F474" w14:textId="77777777" w:rsidTr="00E828E4">
        <w:tc>
          <w:tcPr>
            <w:tcW w:w="780" w:type="pct"/>
          </w:tcPr>
          <w:p w14:paraId="568DD302" w14:textId="77777777" w:rsidR="000F04DD" w:rsidRPr="0009215B" w:rsidRDefault="000F04DD" w:rsidP="000F04DD">
            <w:pPr>
              <w:pStyle w:val="ListParagraph"/>
              <w:numPr>
                <w:ilvl w:val="0"/>
                <w:numId w:val="1"/>
              </w:numPr>
              <w:rPr>
                <w:rFonts w:cs="Arial"/>
                <w:sz w:val="21"/>
                <w:szCs w:val="21"/>
                <w:lang w:val="en-US"/>
              </w:rPr>
            </w:pPr>
            <w:r w:rsidRPr="0009215B">
              <w:rPr>
                <w:rFonts w:cs="Arial"/>
                <w:sz w:val="21"/>
                <w:szCs w:val="21"/>
                <w:lang w:val="en-US"/>
              </w:rPr>
              <w:t xml:space="preserve">Amount varies </w:t>
            </w:r>
          </w:p>
          <w:p w14:paraId="19E4E9AB" w14:textId="77777777" w:rsidR="000F04DD" w:rsidRPr="0009215B" w:rsidRDefault="000F04DD" w:rsidP="000F04DD">
            <w:pPr>
              <w:pStyle w:val="ListParagraph"/>
              <w:numPr>
                <w:ilvl w:val="0"/>
                <w:numId w:val="1"/>
              </w:numPr>
              <w:rPr>
                <w:rFonts w:cs="Arial"/>
                <w:sz w:val="21"/>
                <w:szCs w:val="21"/>
                <w:lang w:val="en-US"/>
              </w:rPr>
            </w:pPr>
            <w:r w:rsidRPr="0009215B">
              <w:rPr>
                <w:rFonts w:cs="Arial"/>
                <w:sz w:val="21"/>
                <w:szCs w:val="21"/>
                <w:lang w:val="en-US"/>
              </w:rPr>
              <w:t>Scalable in 4-month internships</w:t>
            </w:r>
          </w:p>
        </w:tc>
        <w:tc>
          <w:tcPr>
            <w:tcW w:w="4220" w:type="pct"/>
          </w:tcPr>
          <w:p w14:paraId="17AB951A" w14:textId="0DCA7E35" w:rsidR="00473706" w:rsidRPr="0009215B" w:rsidRDefault="00473706" w:rsidP="000F04DD">
            <w:pPr>
              <w:pStyle w:val="ListParagraph"/>
              <w:numPr>
                <w:ilvl w:val="0"/>
                <w:numId w:val="1"/>
              </w:numPr>
              <w:rPr>
                <w:rFonts w:cs="Arial"/>
                <w:sz w:val="21"/>
                <w:szCs w:val="21"/>
              </w:rPr>
            </w:pPr>
            <w:r w:rsidRPr="0009215B">
              <w:rPr>
                <w:rFonts w:cs="Arial"/>
                <w:sz w:val="21"/>
                <w:szCs w:val="21"/>
              </w:rPr>
              <w:t>MITACS builds partnerships between academia, industry and the world – to create a more innovative Canada.</w:t>
            </w:r>
          </w:p>
          <w:p w14:paraId="7DE4F4D9" w14:textId="6ADCCF80" w:rsidR="000F04DD" w:rsidRPr="0009215B" w:rsidRDefault="000F04DD" w:rsidP="000F04DD">
            <w:pPr>
              <w:pStyle w:val="ListParagraph"/>
              <w:numPr>
                <w:ilvl w:val="0"/>
                <w:numId w:val="1"/>
              </w:numPr>
              <w:rPr>
                <w:rFonts w:cs="Arial"/>
                <w:sz w:val="21"/>
                <w:szCs w:val="21"/>
              </w:rPr>
            </w:pPr>
            <w:r w:rsidRPr="0009215B">
              <w:rPr>
                <w:rFonts w:cs="Arial"/>
                <w:sz w:val="21"/>
                <w:szCs w:val="21"/>
                <w:lang w:val="en-US"/>
              </w:rPr>
              <w:t>Grant</w:t>
            </w:r>
            <w:r w:rsidR="00D43DC9" w:rsidRPr="0009215B">
              <w:rPr>
                <w:rFonts w:cs="Arial"/>
                <w:sz w:val="21"/>
                <w:szCs w:val="21"/>
                <w:lang w:val="en-US"/>
              </w:rPr>
              <w:t>s</w:t>
            </w:r>
            <w:r w:rsidRPr="0009215B">
              <w:rPr>
                <w:rFonts w:cs="Arial"/>
                <w:sz w:val="21"/>
                <w:szCs w:val="21"/>
                <w:lang w:val="en-US"/>
              </w:rPr>
              <w:t xml:space="preserve"> support salaries for </w:t>
            </w:r>
            <w:r w:rsidRPr="0009215B">
              <w:rPr>
                <w:rFonts w:cs="Arial"/>
                <w:sz w:val="21"/>
                <w:szCs w:val="21"/>
              </w:rPr>
              <w:t>post-doctorate fellow and graduate students including international students</w:t>
            </w:r>
            <w:r w:rsidR="006642B8" w:rsidRPr="0009215B">
              <w:rPr>
                <w:rFonts w:cs="Arial"/>
                <w:sz w:val="21"/>
                <w:szCs w:val="21"/>
              </w:rPr>
              <w:t>.</w:t>
            </w:r>
          </w:p>
          <w:p w14:paraId="04409C56" w14:textId="0E3EC4BE" w:rsidR="00D65404" w:rsidRPr="0009215B" w:rsidRDefault="003A2677" w:rsidP="000F04DD">
            <w:pPr>
              <w:pStyle w:val="ListParagraph"/>
              <w:numPr>
                <w:ilvl w:val="0"/>
                <w:numId w:val="1"/>
              </w:numPr>
              <w:rPr>
                <w:rFonts w:cs="Arial"/>
                <w:sz w:val="21"/>
                <w:szCs w:val="21"/>
              </w:rPr>
            </w:pPr>
            <w:r w:rsidRPr="0009215B">
              <w:rPr>
                <w:rFonts w:cs="Arial"/>
                <w:sz w:val="21"/>
                <w:szCs w:val="21"/>
              </w:rPr>
              <w:t>Research project a</w:t>
            </w:r>
            <w:r w:rsidR="00D65404" w:rsidRPr="0009215B">
              <w:rPr>
                <w:rFonts w:cs="Arial"/>
                <w:sz w:val="21"/>
                <w:szCs w:val="21"/>
              </w:rPr>
              <w:t>pplication is made</w:t>
            </w:r>
            <w:r w:rsidRPr="0009215B">
              <w:rPr>
                <w:rFonts w:cs="Arial"/>
                <w:sz w:val="21"/>
                <w:szCs w:val="21"/>
              </w:rPr>
              <w:t xml:space="preserve"> to MITACS on the basis of an industry partner matching the award.</w:t>
            </w:r>
          </w:p>
          <w:p w14:paraId="4095E1FE" w14:textId="15FB733B" w:rsidR="002B38B9" w:rsidRPr="0009215B" w:rsidRDefault="002B38B9" w:rsidP="000F04DD">
            <w:pPr>
              <w:pStyle w:val="ListParagraph"/>
              <w:numPr>
                <w:ilvl w:val="0"/>
                <w:numId w:val="1"/>
              </w:numPr>
              <w:rPr>
                <w:rFonts w:cs="Arial"/>
                <w:sz w:val="21"/>
                <w:szCs w:val="21"/>
              </w:rPr>
            </w:pPr>
            <w:r w:rsidRPr="0009215B">
              <w:rPr>
                <w:rFonts w:cs="Arial"/>
                <w:sz w:val="21"/>
                <w:szCs w:val="21"/>
              </w:rPr>
              <w:t>MITACS funds up to $15,000 for each four month internship period.</w:t>
            </w:r>
            <w:r w:rsidR="00A86968" w:rsidRPr="0009215B">
              <w:rPr>
                <w:rFonts w:cs="Arial"/>
                <w:sz w:val="21"/>
                <w:szCs w:val="21"/>
              </w:rPr>
              <w:t xml:space="preserve"> Post-doctoral fellows can receive up to 2 years of funding.</w:t>
            </w:r>
          </w:p>
          <w:p w14:paraId="19A1AAEE" w14:textId="77777777" w:rsidR="000F04DD" w:rsidRPr="0009215B" w:rsidRDefault="000F04DD" w:rsidP="00D65404">
            <w:pPr>
              <w:pStyle w:val="ListParagraph"/>
              <w:numPr>
                <w:ilvl w:val="0"/>
                <w:numId w:val="1"/>
              </w:numPr>
              <w:rPr>
                <w:rFonts w:cs="Arial"/>
                <w:sz w:val="21"/>
                <w:szCs w:val="21"/>
              </w:rPr>
            </w:pPr>
            <w:r w:rsidRPr="0009215B">
              <w:rPr>
                <w:rFonts w:cs="Arial"/>
                <w:sz w:val="21"/>
                <w:szCs w:val="21"/>
              </w:rPr>
              <w:t>M</w:t>
            </w:r>
            <w:r w:rsidR="006642B8" w:rsidRPr="0009215B">
              <w:rPr>
                <w:rFonts w:cs="Arial"/>
                <w:sz w:val="21"/>
                <w:szCs w:val="21"/>
              </w:rPr>
              <w:t>ITACS</w:t>
            </w:r>
            <w:r w:rsidRPr="0009215B">
              <w:rPr>
                <w:rFonts w:cs="Arial"/>
                <w:sz w:val="21"/>
                <w:szCs w:val="21"/>
              </w:rPr>
              <w:t xml:space="preserve"> Accelerate</w:t>
            </w:r>
            <w:r w:rsidR="00D43DC9" w:rsidRPr="0009215B">
              <w:rPr>
                <w:rFonts w:cs="Arial"/>
                <w:sz w:val="21"/>
                <w:szCs w:val="21"/>
              </w:rPr>
              <w:t xml:space="preserve"> grants</w:t>
            </w:r>
            <w:r w:rsidRPr="0009215B">
              <w:rPr>
                <w:rFonts w:cs="Arial"/>
                <w:sz w:val="21"/>
                <w:szCs w:val="21"/>
              </w:rPr>
              <w:t xml:space="preserve"> cannot match funds received from granting agencies like NSERC, CIHR, SSHRC or funds received from U</w:t>
            </w:r>
            <w:r w:rsidR="00311457" w:rsidRPr="0009215B">
              <w:rPr>
                <w:rFonts w:cs="Arial"/>
                <w:sz w:val="21"/>
                <w:szCs w:val="21"/>
              </w:rPr>
              <w:t>OIT.</w:t>
            </w:r>
          </w:p>
          <w:p w14:paraId="278B0379" w14:textId="529EBAC0" w:rsidR="00D43DC9" w:rsidRPr="0009215B" w:rsidRDefault="00590BF4" w:rsidP="00D65404">
            <w:pPr>
              <w:pStyle w:val="ListParagraph"/>
              <w:numPr>
                <w:ilvl w:val="0"/>
                <w:numId w:val="1"/>
              </w:numPr>
              <w:rPr>
                <w:rFonts w:cs="Arial"/>
                <w:sz w:val="21"/>
                <w:szCs w:val="21"/>
              </w:rPr>
            </w:pPr>
            <w:r w:rsidRPr="0009215B">
              <w:rPr>
                <w:rFonts w:cs="Arial"/>
                <w:sz w:val="21"/>
                <w:szCs w:val="21"/>
              </w:rPr>
              <w:t xml:space="preserve">Financial Reporting: </w:t>
            </w:r>
            <w:r w:rsidR="00D43DC9" w:rsidRPr="0009215B">
              <w:rPr>
                <w:rFonts w:cs="Arial"/>
                <w:sz w:val="21"/>
                <w:szCs w:val="21"/>
              </w:rPr>
              <w:t>Form 300 due</w:t>
            </w:r>
            <w:r w:rsidR="00EB1352" w:rsidRPr="0009215B">
              <w:rPr>
                <w:rFonts w:cs="Arial"/>
                <w:sz w:val="21"/>
                <w:szCs w:val="21"/>
              </w:rPr>
              <w:t xml:space="preserve"> to MITACS</w:t>
            </w:r>
            <w:r w:rsidR="00D43DC9" w:rsidRPr="0009215B">
              <w:rPr>
                <w:rFonts w:cs="Arial"/>
                <w:sz w:val="21"/>
                <w:szCs w:val="21"/>
              </w:rPr>
              <w:t xml:space="preserve"> by May 31</w:t>
            </w:r>
            <w:r w:rsidR="00D43DC9" w:rsidRPr="0009215B">
              <w:rPr>
                <w:rFonts w:cs="Arial"/>
                <w:sz w:val="21"/>
                <w:szCs w:val="21"/>
                <w:vertAlign w:val="superscript"/>
              </w:rPr>
              <w:t>st</w:t>
            </w:r>
            <w:r w:rsidR="00D43DC9" w:rsidRPr="0009215B">
              <w:rPr>
                <w:rFonts w:cs="Arial"/>
                <w:sz w:val="21"/>
                <w:szCs w:val="21"/>
              </w:rPr>
              <w:t xml:space="preserve"> each year, plus a final F300 within 30 days of the grant end date.</w:t>
            </w:r>
          </w:p>
        </w:tc>
      </w:tr>
    </w:tbl>
    <w:p w14:paraId="747EC228" w14:textId="77777777" w:rsidR="00F85329" w:rsidRPr="0009215B" w:rsidRDefault="00F85329" w:rsidP="00F85329">
      <w:pPr>
        <w:spacing w:after="120"/>
        <w:rPr>
          <w:rFonts w:ascii="Arial Rounded MT Bold" w:hAnsi="Arial Rounded MT Bold"/>
          <w:color w:val="1F4E79" w:themeColor="accent1" w:themeShade="80"/>
          <w:lang w:val="en-US"/>
        </w:rPr>
      </w:pPr>
    </w:p>
    <w:p w14:paraId="2C36CA66" w14:textId="77777777" w:rsidR="0009215B" w:rsidRDefault="0009215B" w:rsidP="00BA48B3">
      <w:pPr>
        <w:spacing w:after="120"/>
      </w:pPr>
    </w:p>
    <w:p w14:paraId="57518E0F" w14:textId="519B4E63" w:rsidR="00BA48B3" w:rsidRPr="0009215B" w:rsidRDefault="00D047E6" w:rsidP="00BA48B3">
      <w:pPr>
        <w:spacing w:after="120"/>
        <w:rPr>
          <w:rFonts w:ascii="Arial Rounded MT Bold" w:hAnsi="Arial Rounded MT Bold"/>
          <w:color w:val="1F4E79" w:themeColor="accent1" w:themeShade="80"/>
          <w:lang w:val="en-US"/>
        </w:rPr>
      </w:pPr>
      <w:hyperlink r:id="rId23" w:history="1">
        <w:r w:rsidR="00BA48B3" w:rsidRPr="0009215B">
          <w:rPr>
            <w:rStyle w:val="Hyperlink"/>
            <w:rFonts w:ascii="Arial Rounded MT Bold" w:hAnsi="Arial Rounded MT Bold"/>
            <w:lang w:val="en-US"/>
          </w:rPr>
          <w:t>O</w:t>
        </w:r>
        <w:r w:rsidR="00B544E6" w:rsidRPr="0009215B">
          <w:rPr>
            <w:rStyle w:val="Hyperlink"/>
            <w:rFonts w:ascii="Arial Rounded MT Bold" w:hAnsi="Arial Rounded MT Bold"/>
            <w:lang w:val="en-US"/>
          </w:rPr>
          <w:t xml:space="preserve">ntario </w:t>
        </w:r>
        <w:proofErr w:type="spellStart"/>
        <w:r w:rsidR="00B544E6" w:rsidRPr="0009215B">
          <w:rPr>
            <w:rStyle w:val="Hyperlink"/>
            <w:rFonts w:ascii="Arial Rounded MT Bold" w:hAnsi="Arial Rounded MT Bold"/>
            <w:lang w:val="en-US"/>
          </w:rPr>
          <w:t>Centres</w:t>
        </w:r>
        <w:proofErr w:type="spellEnd"/>
        <w:r w:rsidR="00B544E6" w:rsidRPr="0009215B">
          <w:rPr>
            <w:rStyle w:val="Hyperlink"/>
            <w:rFonts w:ascii="Arial Rounded MT Bold" w:hAnsi="Arial Rounded MT Bold"/>
            <w:lang w:val="en-US"/>
          </w:rPr>
          <w:t xml:space="preserve"> of Excellence (O</w:t>
        </w:r>
        <w:r w:rsidR="00BA48B3" w:rsidRPr="0009215B">
          <w:rPr>
            <w:rStyle w:val="Hyperlink"/>
            <w:rFonts w:ascii="Arial Rounded MT Bold" w:hAnsi="Arial Rounded MT Bold"/>
            <w:lang w:val="en-US"/>
          </w:rPr>
          <w:t>CE</w:t>
        </w:r>
      </w:hyperlink>
      <w:r w:rsidR="00B544E6" w:rsidRPr="0009215B">
        <w:rPr>
          <w:rStyle w:val="Hyperlink"/>
          <w:rFonts w:ascii="Arial Rounded MT Bold" w:hAnsi="Arial Rounded MT Bold"/>
          <w:lang w:val="en-US"/>
        </w:rPr>
        <w:t>)</w:t>
      </w:r>
      <w:r w:rsidR="00BA48B3" w:rsidRPr="0009215B">
        <w:rPr>
          <w:rFonts w:ascii="Arial Rounded MT Bold" w:hAnsi="Arial Rounded MT Bold"/>
          <w:color w:val="1F4E79" w:themeColor="accent1" w:themeShade="80"/>
          <w:lang w:val="en-US"/>
        </w:rPr>
        <w:t xml:space="preserve"> </w:t>
      </w:r>
    </w:p>
    <w:tbl>
      <w:tblPr>
        <w:tblStyle w:val="TableGrid"/>
        <w:tblW w:w="5000" w:type="pct"/>
        <w:tblLook w:val="04A0" w:firstRow="1" w:lastRow="0" w:firstColumn="1" w:lastColumn="0" w:noHBand="0" w:noVBand="1"/>
      </w:tblPr>
      <w:tblGrid>
        <w:gridCol w:w="2245"/>
        <w:gridCol w:w="12145"/>
      </w:tblGrid>
      <w:tr w:rsidR="00BA48B3" w:rsidRPr="0009215B" w14:paraId="6A9171D0" w14:textId="77777777" w:rsidTr="00E828E4">
        <w:tc>
          <w:tcPr>
            <w:tcW w:w="780" w:type="pct"/>
            <w:shd w:val="clear" w:color="auto" w:fill="2F5496" w:themeFill="accent5" w:themeFillShade="BF"/>
          </w:tcPr>
          <w:p w14:paraId="6EC3A9F7" w14:textId="77777777" w:rsidR="00BA48B3" w:rsidRPr="0009215B" w:rsidRDefault="00BA48B3" w:rsidP="00797587">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Typical Amount and Duration</w:t>
            </w:r>
          </w:p>
        </w:tc>
        <w:tc>
          <w:tcPr>
            <w:tcW w:w="4220" w:type="pct"/>
            <w:shd w:val="clear" w:color="auto" w:fill="2F5496" w:themeFill="accent5" w:themeFillShade="BF"/>
          </w:tcPr>
          <w:p w14:paraId="635C64BC" w14:textId="77777777" w:rsidR="00BA48B3" w:rsidRPr="0009215B" w:rsidRDefault="00BA48B3" w:rsidP="00797587">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Financial Characteristics</w:t>
            </w:r>
          </w:p>
        </w:tc>
      </w:tr>
      <w:tr w:rsidR="00BA48B3" w:rsidRPr="0009215B" w14:paraId="134E5D5E" w14:textId="77777777" w:rsidTr="00E828E4">
        <w:tc>
          <w:tcPr>
            <w:tcW w:w="780" w:type="pct"/>
          </w:tcPr>
          <w:p w14:paraId="68C81984" w14:textId="77777777" w:rsidR="00BA48B3" w:rsidRPr="0009215B" w:rsidRDefault="00BA48B3" w:rsidP="00797587">
            <w:pPr>
              <w:pStyle w:val="ListParagraph"/>
              <w:numPr>
                <w:ilvl w:val="0"/>
                <w:numId w:val="1"/>
              </w:numPr>
              <w:rPr>
                <w:rFonts w:cs="Arial"/>
                <w:lang w:val="en-US"/>
              </w:rPr>
            </w:pPr>
            <w:r w:rsidRPr="0009215B">
              <w:rPr>
                <w:rFonts w:cs="Arial"/>
                <w:lang w:val="en-US"/>
              </w:rPr>
              <w:t xml:space="preserve">Amount varies </w:t>
            </w:r>
          </w:p>
          <w:p w14:paraId="5F87DECD" w14:textId="4C84257C" w:rsidR="00BA48B3" w:rsidRPr="0009215B" w:rsidRDefault="00C626E0" w:rsidP="00797587">
            <w:pPr>
              <w:pStyle w:val="ListParagraph"/>
              <w:numPr>
                <w:ilvl w:val="0"/>
                <w:numId w:val="1"/>
              </w:numPr>
              <w:rPr>
                <w:rFonts w:cs="Arial"/>
                <w:lang w:val="en-US"/>
              </w:rPr>
            </w:pPr>
            <w:r w:rsidRPr="0009215B">
              <w:rPr>
                <w:rFonts w:cs="Arial"/>
                <w:lang w:val="en-US"/>
              </w:rPr>
              <w:t>6 months to several years</w:t>
            </w:r>
          </w:p>
        </w:tc>
        <w:tc>
          <w:tcPr>
            <w:tcW w:w="4220" w:type="pct"/>
          </w:tcPr>
          <w:p w14:paraId="4922B1EB" w14:textId="286AC2A4" w:rsidR="00BA48B3" w:rsidRPr="0009215B" w:rsidRDefault="00B544E6" w:rsidP="00797587">
            <w:pPr>
              <w:pStyle w:val="ListParagraph"/>
              <w:numPr>
                <w:ilvl w:val="0"/>
                <w:numId w:val="1"/>
              </w:numPr>
              <w:rPr>
                <w:rFonts w:cs="Arial"/>
              </w:rPr>
            </w:pPr>
            <w:r w:rsidRPr="0009215B">
              <w:rPr>
                <w:rFonts w:cs="Arial"/>
              </w:rPr>
              <w:t xml:space="preserve">In partnership with industry, </w:t>
            </w:r>
            <w:hyperlink r:id="rId24" w:history="1">
              <w:r w:rsidRPr="0009215B">
                <w:rPr>
                  <w:rStyle w:val="Hyperlink"/>
                  <w:rFonts w:cs="Arial"/>
                </w:rPr>
                <w:t>OCE</w:t>
              </w:r>
            </w:hyperlink>
            <w:r w:rsidRPr="0009215B">
              <w:rPr>
                <w:rFonts w:cs="Arial"/>
              </w:rPr>
              <w:t xml:space="preserve"> co-invests to commercialize innovation originating in the province’s publicly funded colleges, universities and research hospitals. </w:t>
            </w:r>
            <w:r w:rsidR="00DC6482" w:rsidRPr="0009215B">
              <w:rPr>
                <w:rFonts w:cs="Arial"/>
              </w:rPr>
              <w:t>OCE drives the commercialization of cutting-edge research across strategic market sectors to secure Ontario’s and Canada’s global competitiveness. OCE focuses on areas and projects that will deliver not only the greatest economic benefits but those that will have a positive social impact in communities across the province.</w:t>
            </w:r>
          </w:p>
          <w:p w14:paraId="53105658" w14:textId="61537305" w:rsidR="00BA48B3" w:rsidRPr="0009215B" w:rsidRDefault="00C626E0" w:rsidP="00797587">
            <w:pPr>
              <w:pStyle w:val="ListParagraph"/>
              <w:numPr>
                <w:ilvl w:val="0"/>
                <w:numId w:val="1"/>
              </w:numPr>
              <w:rPr>
                <w:rFonts w:cs="Arial"/>
              </w:rPr>
            </w:pPr>
            <w:r w:rsidRPr="0009215B">
              <w:rPr>
                <w:rFonts w:cs="Arial"/>
              </w:rPr>
              <w:t>OCE typically holds back</w:t>
            </w:r>
            <w:r w:rsidR="00391C29" w:rsidRPr="0009215B">
              <w:rPr>
                <w:rFonts w:cs="Arial"/>
              </w:rPr>
              <w:t xml:space="preserve"> 10% of the grant</w:t>
            </w:r>
            <w:r w:rsidRPr="0009215B">
              <w:rPr>
                <w:rFonts w:cs="Arial"/>
              </w:rPr>
              <w:t>, to be paid upon final report submission.</w:t>
            </w:r>
            <w:r w:rsidR="00F365DB" w:rsidRPr="0009215B">
              <w:rPr>
                <w:rFonts w:cs="Arial"/>
              </w:rPr>
              <w:t xml:space="preserve"> Invoicing required for final holdback in some cases.</w:t>
            </w:r>
          </w:p>
          <w:p w14:paraId="40A4F4C1" w14:textId="69BE9852" w:rsidR="00BA48B3" w:rsidRPr="0009215B" w:rsidRDefault="00BA48B3" w:rsidP="00F365DB">
            <w:pPr>
              <w:pStyle w:val="ListParagraph"/>
              <w:numPr>
                <w:ilvl w:val="0"/>
                <w:numId w:val="1"/>
              </w:numPr>
              <w:rPr>
                <w:rFonts w:cs="Arial"/>
              </w:rPr>
            </w:pPr>
            <w:r w:rsidRPr="0009215B">
              <w:rPr>
                <w:rFonts w:cs="Arial"/>
              </w:rPr>
              <w:t>Financial Reporting: F</w:t>
            </w:r>
            <w:r w:rsidR="00F365DB" w:rsidRPr="0009215B">
              <w:rPr>
                <w:rFonts w:cs="Arial"/>
              </w:rPr>
              <w:t>inal report due at end of grant along with an Attestation of Use of Funds (needed for release of holdback)</w:t>
            </w:r>
            <w:r w:rsidRPr="0009215B">
              <w:rPr>
                <w:rFonts w:cs="Arial"/>
              </w:rPr>
              <w:t>.</w:t>
            </w:r>
          </w:p>
        </w:tc>
      </w:tr>
    </w:tbl>
    <w:p w14:paraId="34A36F24" w14:textId="77777777" w:rsidR="001508AB" w:rsidRDefault="001508AB" w:rsidP="00F85329">
      <w:pPr>
        <w:spacing w:after="120"/>
        <w:rPr>
          <w:rFonts w:ascii="Arial Rounded MT Bold" w:hAnsi="Arial Rounded MT Bold"/>
          <w:color w:val="1F4E79" w:themeColor="accent1" w:themeShade="80"/>
          <w:lang w:val="en-US"/>
        </w:rPr>
      </w:pPr>
    </w:p>
    <w:p w14:paraId="4CFF7289" w14:textId="77777777" w:rsidR="0009215B" w:rsidRPr="0009215B" w:rsidRDefault="0009215B" w:rsidP="00F85329">
      <w:pPr>
        <w:spacing w:after="120"/>
        <w:rPr>
          <w:rFonts w:ascii="Arial Rounded MT Bold" w:hAnsi="Arial Rounded MT Bold"/>
          <w:color w:val="1F4E79" w:themeColor="accent1" w:themeShade="80"/>
          <w:lang w:val="en-US"/>
        </w:rPr>
      </w:pPr>
    </w:p>
    <w:p w14:paraId="3DEB6554" w14:textId="285469F0" w:rsidR="00F85329" w:rsidRPr="0009215B" w:rsidRDefault="003D476A" w:rsidP="00F85329">
      <w:pPr>
        <w:spacing w:after="120"/>
        <w:rPr>
          <w:rFonts w:ascii="Arial Rounded MT Bold" w:hAnsi="Arial Rounded MT Bold"/>
          <w:color w:val="1F4E79" w:themeColor="accent1" w:themeShade="80"/>
          <w:lang w:val="en-US"/>
        </w:rPr>
      </w:pPr>
      <w:r w:rsidRPr="0009215B">
        <w:rPr>
          <w:rFonts w:ascii="Arial Rounded MT Bold" w:hAnsi="Arial Rounded MT Bold"/>
          <w:color w:val="1F4E79" w:themeColor="accent1" w:themeShade="80"/>
          <w:lang w:val="en-US"/>
        </w:rPr>
        <w:t>Federal Economic Development Agency (</w:t>
      </w:r>
      <w:proofErr w:type="spellStart"/>
      <w:r w:rsidR="00800572" w:rsidRPr="0009215B">
        <w:fldChar w:fldCharType="begin"/>
      </w:r>
      <w:r w:rsidR="00800572" w:rsidRPr="0009215B">
        <w:instrText xml:space="preserve"> HYPERLINK "http://www.feddevontario.gc.ca/eic/site/723.nsf/eng/home" </w:instrText>
      </w:r>
      <w:r w:rsidR="00800572" w:rsidRPr="0009215B">
        <w:fldChar w:fldCharType="separate"/>
      </w:r>
      <w:r w:rsidR="005D3DB9" w:rsidRPr="0009215B">
        <w:rPr>
          <w:rStyle w:val="Hyperlink"/>
          <w:rFonts w:ascii="Arial Rounded MT Bold" w:hAnsi="Arial Rounded MT Bold"/>
          <w:lang w:val="en-US"/>
        </w:rPr>
        <w:t>FedDev</w:t>
      </w:r>
      <w:proofErr w:type="spellEnd"/>
      <w:r w:rsidR="00800572" w:rsidRPr="0009215B">
        <w:rPr>
          <w:rStyle w:val="Hyperlink"/>
          <w:rFonts w:ascii="Arial Rounded MT Bold" w:hAnsi="Arial Rounded MT Bold"/>
          <w:lang w:val="en-US"/>
        </w:rPr>
        <w:fldChar w:fldCharType="end"/>
      </w:r>
      <w:r w:rsidR="005D3DB9" w:rsidRPr="0009215B">
        <w:rPr>
          <w:rFonts w:ascii="Arial Rounded MT Bold" w:hAnsi="Arial Rounded MT Bold"/>
          <w:color w:val="1F4E79" w:themeColor="accent1" w:themeShade="80"/>
          <w:lang w:val="en-US"/>
        </w:rPr>
        <w:t>)</w:t>
      </w:r>
    </w:p>
    <w:tbl>
      <w:tblPr>
        <w:tblStyle w:val="TableGrid"/>
        <w:tblW w:w="5000" w:type="pct"/>
        <w:tblLook w:val="04A0" w:firstRow="1" w:lastRow="0" w:firstColumn="1" w:lastColumn="0" w:noHBand="0" w:noVBand="1"/>
      </w:tblPr>
      <w:tblGrid>
        <w:gridCol w:w="2245"/>
        <w:gridCol w:w="449"/>
        <w:gridCol w:w="11696"/>
      </w:tblGrid>
      <w:tr w:rsidR="000F04DD" w:rsidRPr="0009215B" w14:paraId="7ED852C1" w14:textId="77777777" w:rsidTr="0045669E">
        <w:tc>
          <w:tcPr>
            <w:tcW w:w="936" w:type="pct"/>
            <w:gridSpan w:val="2"/>
            <w:shd w:val="clear" w:color="auto" w:fill="2F5496" w:themeFill="accent5" w:themeFillShade="BF"/>
          </w:tcPr>
          <w:p w14:paraId="0A9B1778" w14:textId="77777777" w:rsidR="000F04DD" w:rsidRPr="0009215B" w:rsidRDefault="000F04DD" w:rsidP="007F6EC0">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Typical Amount and Duration</w:t>
            </w:r>
          </w:p>
        </w:tc>
        <w:tc>
          <w:tcPr>
            <w:tcW w:w="4064" w:type="pct"/>
            <w:shd w:val="clear" w:color="auto" w:fill="2F5496" w:themeFill="accent5" w:themeFillShade="BF"/>
          </w:tcPr>
          <w:p w14:paraId="7AE002CC" w14:textId="3EA7F11F" w:rsidR="000F04DD" w:rsidRPr="0009215B" w:rsidRDefault="00615385" w:rsidP="0086239E">
            <w:pPr>
              <w:jc w:val="center"/>
              <w:rPr>
                <w:rFonts w:ascii="Arial Rounded MT Bold" w:hAnsi="Arial Rounded MT Bold" w:cs="Arial"/>
                <w:color w:val="FFFFFF" w:themeColor="background1"/>
                <w:lang w:val="en-US"/>
              </w:rPr>
            </w:pPr>
            <w:r w:rsidRPr="0009215B">
              <w:rPr>
                <w:rFonts w:ascii="Arial Rounded MT Bold" w:hAnsi="Arial Rounded MT Bold" w:cs="Arial"/>
                <w:color w:val="FFFFFF" w:themeColor="background1"/>
                <w:lang w:val="en-US"/>
              </w:rPr>
              <w:t>Financial Characteristics</w:t>
            </w:r>
          </w:p>
        </w:tc>
      </w:tr>
      <w:tr w:rsidR="000F04DD" w:rsidRPr="0009215B" w14:paraId="545F32B6" w14:textId="77777777" w:rsidTr="00E828E4">
        <w:trPr>
          <w:trHeight w:val="1160"/>
        </w:trPr>
        <w:tc>
          <w:tcPr>
            <w:tcW w:w="780" w:type="pct"/>
          </w:tcPr>
          <w:p w14:paraId="4BEB9FB0" w14:textId="77777777" w:rsidR="000F04DD" w:rsidRPr="0009215B" w:rsidRDefault="002E4F80" w:rsidP="0086239E">
            <w:pPr>
              <w:pStyle w:val="ListParagraph"/>
              <w:numPr>
                <w:ilvl w:val="0"/>
                <w:numId w:val="1"/>
              </w:numPr>
              <w:rPr>
                <w:rFonts w:cs="Arial"/>
                <w:lang w:val="en-US"/>
              </w:rPr>
            </w:pPr>
            <w:r w:rsidRPr="0009215B">
              <w:rPr>
                <w:rFonts w:cs="Arial"/>
                <w:lang w:val="en-US"/>
              </w:rPr>
              <w:t xml:space="preserve">Amount varies </w:t>
            </w:r>
          </w:p>
          <w:p w14:paraId="2959FA3B" w14:textId="77777777" w:rsidR="002E4F80" w:rsidRPr="0009215B" w:rsidRDefault="002E4F80" w:rsidP="0086239E">
            <w:pPr>
              <w:pStyle w:val="ListParagraph"/>
              <w:numPr>
                <w:ilvl w:val="0"/>
                <w:numId w:val="1"/>
              </w:numPr>
              <w:rPr>
                <w:rFonts w:cs="Arial"/>
                <w:lang w:val="en-US"/>
              </w:rPr>
            </w:pPr>
            <w:r w:rsidRPr="0009215B">
              <w:rPr>
                <w:rFonts w:cs="Arial"/>
                <w:lang w:val="en-US"/>
              </w:rPr>
              <w:t>Typically 1 year</w:t>
            </w:r>
          </w:p>
        </w:tc>
        <w:tc>
          <w:tcPr>
            <w:tcW w:w="4220" w:type="pct"/>
            <w:gridSpan w:val="2"/>
          </w:tcPr>
          <w:p w14:paraId="7BE1745C" w14:textId="1BB9CBD9" w:rsidR="002E4F80" w:rsidRPr="0009215B" w:rsidRDefault="00CA7985" w:rsidP="002E4F80">
            <w:pPr>
              <w:pStyle w:val="ListParagraph"/>
              <w:numPr>
                <w:ilvl w:val="0"/>
                <w:numId w:val="1"/>
              </w:numPr>
              <w:rPr>
                <w:rFonts w:cs="Arial"/>
              </w:rPr>
            </w:pPr>
            <w:r w:rsidRPr="0009215B">
              <w:rPr>
                <w:rFonts w:cs="Arial"/>
              </w:rPr>
              <w:t>F</w:t>
            </w:r>
            <w:r w:rsidR="002E4F80" w:rsidRPr="0009215B">
              <w:rPr>
                <w:rFonts w:cs="Arial"/>
              </w:rPr>
              <w:t>unding is received when claims of eligible costs are submitted</w:t>
            </w:r>
            <w:r w:rsidR="009F46E8" w:rsidRPr="0009215B">
              <w:rPr>
                <w:rFonts w:cs="Arial"/>
              </w:rPr>
              <w:t xml:space="preserve"> for reimbursement</w:t>
            </w:r>
            <w:r w:rsidR="00AE3388" w:rsidRPr="0009215B">
              <w:rPr>
                <w:rFonts w:cs="Arial"/>
              </w:rPr>
              <w:t xml:space="preserve">.  </w:t>
            </w:r>
            <w:r w:rsidR="009F46E8" w:rsidRPr="0009215B">
              <w:rPr>
                <w:rFonts w:cs="Arial"/>
              </w:rPr>
              <w:t>These s</w:t>
            </w:r>
            <w:r w:rsidR="00AE3388" w:rsidRPr="0009215B">
              <w:rPr>
                <w:rFonts w:cs="Arial"/>
              </w:rPr>
              <w:t>ubmissions must be made quarterly, stringent back up is necessary in order for reimbursement to be processed</w:t>
            </w:r>
            <w:r w:rsidR="00213052" w:rsidRPr="0009215B">
              <w:rPr>
                <w:rFonts w:cs="Arial"/>
              </w:rPr>
              <w:t xml:space="preserve"> </w:t>
            </w:r>
            <w:r w:rsidR="00F02A9A" w:rsidRPr="0009215B">
              <w:rPr>
                <w:rFonts w:cs="Arial"/>
              </w:rPr>
              <w:t>as</w:t>
            </w:r>
            <w:r w:rsidR="00213052" w:rsidRPr="0009215B">
              <w:rPr>
                <w:rFonts w:cs="Arial"/>
              </w:rPr>
              <w:t xml:space="preserve"> each </w:t>
            </w:r>
            <w:r w:rsidR="00F02A9A" w:rsidRPr="0009215B">
              <w:rPr>
                <w:rFonts w:cs="Arial"/>
              </w:rPr>
              <w:t>document</w:t>
            </w:r>
            <w:r w:rsidR="00213052" w:rsidRPr="0009215B">
              <w:rPr>
                <w:rFonts w:cs="Arial"/>
              </w:rPr>
              <w:t xml:space="preserve"> is audited</w:t>
            </w:r>
            <w:r w:rsidR="00AE3388" w:rsidRPr="0009215B">
              <w:rPr>
                <w:rFonts w:cs="Arial"/>
              </w:rPr>
              <w:t>.</w:t>
            </w:r>
          </w:p>
          <w:p w14:paraId="07EE3956" w14:textId="25DA680A" w:rsidR="0064722D" w:rsidRPr="0009215B" w:rsidRDefault="0064722D" w:rsidP="0064722D">
            <w:pPr>
              <w:pStyle w:val="ListParagraph"/>
              <w:numPr>
                <w:ilvl w:val="0"/>
                <w:numId w:val="1"/>
              </w:numPr>
              <w:rPr>
                <w:rFonts w:cs="Arial"/>
              </w:rPr>
            </w:pPr>
            <w:r w:rsidRPr="0009215B">
              <w:rPr>
                <w:rFonts w:cs="Arial"/>
              </w:rPr>
              <w:t>Recipients must meet the terms and conditions outlined in the contribution agreement before being reimbursed for incurred costs</w:t>
            </w:r>
            <w:r w:rsidR="00213052" w:rsidRPr="0009215B">
              <w:rPr>
                <w:rFonts w:cs="Arial"/>
              </w:rPr>
              <w:t>.</w:t>
            </w:r>
          </w:p>
          <w:p w14:paraId="1339DFD7" w14:textId="65B0D410" w:rsidR="00D97C41" w:rsidRPr="0009215B" w:rsidRDefault="00590BF4" w:rsidP="00590BF4">
            <w:pPr>
              <w:pStyle w:val="ListParagraph"/>
              <w:numPr>
                <w:ilvl w:val="0"/>
                <w:numId w:val="1"/>
              </w:numPr>
              <w:rPr>
                <w:rFonts w:cs="Arial"/>
                <w:lang w:val="en-US"/>
              </w:rPr>
            </w:pPr>
            <w:r w:rsidRPr="0009215B">
              <w:rPr>
                <w:rFonts w:cs="Arial"/>
                <w:lang w:val="en-US"/>
              </w:rPr>
              <w:t xml:space="preserve">Detailed budget </w:t>
            </w:r>
            <w:r w:rsidR="00AC43F1" w:rsidRPr="0009215B">
              <w:rPr>
                <w:rFonts w:cs="Arial"/>
                <w:lang w:val="en-US"/>
              </w:rPr>
              <w:t xml:space="preserve">set up </w:t>
            </w:r>
            <w:r w:rsidRPr="0009215B">
              <w:rPr>
                <w:rFonts w:cs="Arial"/>
                <w:lang w:val="en-US"/>
              </w:rPr>
              <w:t>needed for expenditures</w:t>
            </w:r>
            <w:r w:rsidR="00AC43F1" w:rsidRPr="0009215B">
              <w:rPr>
                <w:rFonts w:cs="Arial"/>
                <w:lang w:val="en-US"/>
              </w:rPr>
              <w:t>; strict adherence to budget necessary</w:t>
            </w:r>
            <w:r w:rsidRPr="0009215B">
              <w:rPr>
                <w:rFonts w:cs="Arial"/>
                <w:lang w:val="en-US"/>
              </w:rPr>
              <w:t>.</w:t>
            </w:r>
            <w:r w:rsidR="00D97C41" w:rsidRPr="0009215B">
              <w:rPr>
                <w:rFonts w:cs="Arial"/>
                <w:lang w:val="en-US"/>
              </w:rPr>
              <w:t xml:space="preserve"> Only costs that are reasonable, incremental and relate directly to project are funded. </w:t>
            </w:r>
            <w:r w:rsidR="00D97C41" w:rsidRPr="0009215B">
              <w:rPr>
                <w:rFonts w:cs="Arial"/>
              </w:rPr>
              <w:t xml:space="preserve">Hospitality costs </w:t>
            </w:r>
            <w:r w:rsidR="0064722D" w:rsidRPr="0009215B">
              <w:rPr>
                <w:rFonts w:cs="Arial"/>
              </w:rPr>
              <w:t xml:space="preserve">not eligible. </w:t>
            </w:r>
            <w:r w:rsidR="00D97C41" w:rsidRPr="0009215B">
              <w:rPr>
                <w:rFonts w:cs="Arial"/>
              </w:rPr>
              <w:t xml:space="preserve"> </w:t>
            </w:r>
          </w:p>
          <w:p w14:paraId="64EC32A1" w14:textId="17BD03DF" w:rsidR="0076149F" w:rsidRPr="0009215B" w:rsidRDefault="000D470D" w:rsidP="00FC75C0">
            <w:pPr>
              <w:pStyle w:val="ListParagraph"/>
              <w:numPr>
                <w:ilvl w:val="0"/>
                <w:numId w:val="1"/>
              </w:numPr>
              <w:rPr>
                <w:rFonts w:cs="Arial"/>
                <w:lang w:val="en-US"/>
              </w:rPr>
            </w:pPr>
            <w:r w:rsidRPr="0009215B">
              <w:rPr>
                <w:rFonts w:cs="Arial"/>
              </w:rPr>
              <w:t xml:space="preserve">Reporting: </w:t>
            </w:r>
            <w:r w:rsidR="00D27456" w:rsidRPr="0009215B">
              <w:rPr>
                <w:rFonts w:cs="Arial"/>
              </w:rPr>
              <w:t>Recipients are required to report quarterly on activities and outcomes as projects are implemented. M</w:t>
            </w:r>
            <w:r w:rsidRPr="0009215B">
              <w:rPr>
                <w:rFonts w:cs="Arial"/>
              </w:rPr>
              <w:t xml:space="preserve">ust </w:t>
            </w:r>
            <w:r w:rsidR="005B772D" w:rsidRPr="0009215B">
              <w:rPr>
                <w:rFonts w:cs="Arial"/>
              </w:rPr>
              <w:t xml:space="preserve">report on </w:t>
            </w:r>
            <w:r w:rsidRPr="0009215B">
              <w:rPr>
                <w:rFonts w:cs="Arial"/>
              </w:rPr>
              <w:t>project expenditures and completion of deliverables, including achievement of performance indicators identified in agreements</w:t>
            </w:r>
            <w:r w:rsidR="00FC75C0" w:rsidRPr="0009215B">
              <w:rPr>
                <w:rFonts w:cs="Arial"/>
              </w:rPr>
              <w:t>.</w:t>
            </w:r>
          </w:p>
        </w:tc>
      </w:tr>
    </w:tbl>
    <w:p w14:paraId="6329635B" w14:textId="77777777" w:rsidR="00F85329" w:rsidRDefault="00F85329" w:rsidP="007813B6">
      <w:pPr>
        <w:spacing w:after="120"/>
        <w:rPr>
          <w:rFonts w:ascii="Arial Rounded MT Bold" w:hAnsi="Arial Rounded MT Bold"/>
          <w:color w:val="1F4E79" w:themeColor="accent1" w:themeShade="80"/>
          <w:lang w:val="en-US"/>
        </w:rPr>
      </w:pPr>
    </w:p>
    <w:sectPr w:rsidR="00F85329" w:rsidSect="00A97F0A">
      <w:headerReference w:type="default" r:id="rId2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1A97" w14:textId="77777777" w:rsidR="00D047E6" w:rsidRDefault="00D047E6" w:rsidP="00C17B14">
      <w:pPr>
        <w:spacing w:after="0" w:line="240" w:lineRule="auto"/>
      </w:pPr>
      <w:r>
        <w:separator/>
      </w:r>
    </w:p>
  </w:endnote>
  <w:endnote w:type="continuationSeparator" w:id="0">
    <w:p w14:paraId="00E78E33" w14:textId="77777777" w:rsidR="00D047E6" w:rsidRDefault="00D047E6" w:rsidP="00C1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CD373" w14:textId="77777777" w:rsidR="00D047E6" w:rsidRDefault="00D047E6" w:rsidP="00C17B14">
      <w:pPr>
        <w:spacing w:after="0" w:line="240" w:lineRule="auto"/>
      </w:pPr>
      <w:r>
        <w:separator/>
      </w:r>
    </w:p>
  </w:footnote>
  <w:footnote w:type="continuationSeparator" w:id="0">
    <w:p w14:paraId="3631BFE1" w14:textId="77777777" w:rsidR="00D047E6" w:rsidRDefault="00D047E6" w:rsidP="00C1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2683" w14:textId="77777777" w:rsidR="0086239E" w:rsidRDefault="0086239E">
    <w:pPr>
      <w:pStyle w:val="Header"/>
    </w:pPr>
    <w:r>
      <w:rPr>
        <w:noProof/>
        <w:lang w:val="en-US"/>
      </w:rPr>
      <mc:AlternateContent>
        <mc:Choice Requires="wps">
          <w:drawing>
            <wp:anchor distT="45720" distB="45720" distL="114300" distR="114300" simplePos="0" relativeHeight="251659264" behindDoc="0" locked="0" layoutInCell="1" allowOverlap="1" wp14:anchorId="4F0ADD71" wp14:editId="6EDE2884">
              <wp:simplePos x="0" y="0"/>
              <wp:positionH relativeFrom="margin">
                <wp:posOffset>3088005</wp:posOffset>
              </wp:positionH>
              <wp:positionV relativeFrom="paragraph">
                <wp:posOffset>69011</wp:posOffset>
              </wp:positionV>
              <wp:extent cx="2360930" cy="504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190"/>
                      </a:xfrm>
                      <a:prstGeom prst="rect">
                        <a:avLst/>
                      </a:prstGeom>
                      <a:solidFill>
                        <a:srgbClr val="FFFFFF"/>
                      </a:solidFill>
                      <a:ln w="9525">
                        <a:noFill/>
                        <a:miter lim="800000"/>
                        <a:headEnd/>
                        <a:tailEnd/>
                      </a:ln>
                    </wps:spPr>
                    <wps:txbx>
                      <w:txbxContent>
                        <w:p w14:paraId="5170524A" w14:textId="77777777" w:rsidR="0086239E" w:rsidRPr="004B6EF2" w:rsidRDefault="0086239E" w:rsidP="00C17B14">
                          <w:pPr>
                            <w:jc w:val="center"/>
                            <w:rPr>
                              <w:rFonts w:ascii="Arial Rounded MT Bold" w:hAnsi="Arial Rounded MT Bold"/>
                              <w:color w:val="2F5496" w:themeColor="accent5" w:themeShade="BF"/>
                              <w:sz w:val="32"/>
                              <w:szCs w:val="32"/>
                            </w:rPr>
                          </w:pPr>
                          <w:r w:rsidRPr="004B6EF2">
                            <w:rPr>
                              <w:rFonts w:ascii="Arial Rounded MT Bold" w:hAnsi="Arial Rounded MT Bold"/>
                              <w:color w:val="2F5496" w:themeColor="accent5" w:themeShade="BF"/>
                              <w:sz w:val="32"/>
                              <w:szCs w:val="32"/>
                            </w:rPr>
                            <w:t>Research Accounting: Dashboard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F0ADD71" id="_x0000_t202" coordsize="21600,21600" o:spt="202" path="m,l,21600r21600,l21600,xe">
              <v:stroke joinstyle="miter"/>
              <v:path gradientshapeok="t" o:connecttype="rect"/>
            </v:shapetype>
            <v:shape id="Text Box 2" o:spid="_x0000_s1026" type="#_x0000_t202" style="position:absolute;margin-left:243.15pt;margin-top:5.45pt;width:185.9pt;height:39.7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gl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" stroked="f">
              <v:textbox>
                <w:txbxContent>
                  <w:p w14:paraId="5170524A" w14:textId="77777777" w:rsidR="0086239E" w:rsidRPr="004B6EF2" w:rsidRDefault="0086239E" w:rsidP="00C17B14">
                    <w:pPr>
                      <w:jc w:val="center"/>
                      <w:rPr>
                        <w:rFonts w:ascii="Arial Rounded MT Bold" w:hAnsi="Arial Rounded MT Bold"/>
                        <w:color w:val="2F5496" w:themeColor="accent5" w:themeShade="BF"/>
                        <w:sz w:val="32"/>
                        <w:szCs w:val="32"/>
                      </w:rPr>
                    </w:pPr>
                    <w:r w:rsidRPr="004B6EF2">
                      <w:rPr>
                        <w:rFonts w:ascii="Arial Rounded MT Bold" w:hAnsi="Arial Rounded MT Bold"/>
                        <w:color w:val="2F5496" w:themeColor="accent5" w:themeShade="BF"/>
                        <w:sz w:val="32"/>
                        <w:szCs w:val="32"/>
                      </w:rPr>
                      <w:t>Research Accounting: Dashboard</w:t>
                    </w:r>
                  </w:p>
                </w:txbxContent>
              </v:textbox>
              <w10:wrap type="square" anchorx="margin"/>
            </v:shape>
          </w:pict>
        </mc:Fallback>
      </mc:AlternateContent>
    </w:r>
    <w:r>
      <w:rPr>
        <w:noProof/>
        <w:lang w:val="en-US"/>
      </w:rPr>
      <w:drawing>
        <wp:inline distT="0" distB="0" distL="0" distR="0" wp14:anchorId="5BC54271" wp14:editId="3992D7DF">
          <wp:extent cx="1723123"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181" t="11919" r="5246" b="11524"/>
                  <a:stretch/>
                </pic:blipFill>
                <pic:spPr bwMode="auto">
                  <a:xfrm>
                    <a:off x="0" y="0"/>
                    <a:ext cx="1723123" cy="7315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088"/>
    <w:multiLevelType w:val="hybridMultilevel"/>
    <w:tmpl w:val="E2403A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B361A18"/>
    <w:multiLevelType w:val="multilevel"/>
    <w:tmpl w:val="98B6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431E4"/>
    <w:multiLevelType w:val="hybridMultilevel"/>
    <w:tmpl w:val="9EF210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B3223B1"/>
    <w:multiLevelType w:val="hybridMultilevel"/>
    <w:tmpl w:val="B45CA700"/>
    <w:lvl w:ilvl="0" w:tplc="5002B9B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0A"/>
    <w:rsid w:val="00000341"/>
    <w:rsid w:val="0000309B"/>
    <w:rsid w:val="000067C6"/>
    <w:rsid w:val="00014471"/>
    <w:rsid w:val="00030529"/>
    <w:rsid w:val="0003242C"/>
    <w:rsid w:val="000556D0"/>
    <w:rsid w:val="00087FAA"/>
    <w:rsid w:val="0009215B"/>
    <w:rsid w:val="000943F4"/>
    <w:rsid w:val="000C1AFF"/>
    <w:rsid w:val="000D470D"/>
    <w:rsid w:val="000F04DD"/>
    <w:rsid w:val="000F66E3"/>
    <w:rsid w:val="00114566"/>
    <w:rsid w:val="001158C7"/>
    <w:rsid w:val="00135CD4"/>
    <w:rsid w:val="001462F2"/>
    <w:rsid w:val="001508AB"/>
    <w:rsid w:val="00154EFA"/>
    <w:rsid w:val="0019311D"/>
    <w:rsid w:val="001C7251"/>
    <w:rsid w:val="001F0D4F"/>
    <w:rsid w:val="001F463E"/>
    <w:rsid w:val="00213052"/>
    <w:rsid w:val="002175D9"/>
    <w:rsid w:val="00220C4B"/>
    <w:rsid w:val="00236EE0"/>
    <w:rsid w:val="00247986"/>
    <w:rsid w:val="00250BD2"/>
    <w:rsid w:val="00266153"/>
    <w:rsid w:val="002710BB"/>
    <w:rsid w:val="002724C4"/>
    <w:rsid w:val="0027689E"/>
    <w:rsid w:val="0028798B"/>
    <w:rsid w:val="002A19EA"/>
    <w:rsid w:val="002A5C8F"/>
    <w:rsid w:val="002B1F24"/>
    <w:rsid w:val="002B38B9"/>
    <w:rsid w:val="002B5C34"/>
    <w:rsid w:val="002D34F3"/>
    <w:rsid w:val="002D7DAF"/>
    <w:rsid w:val="002E4F80"/>
    <w:rsid w:val="002E6418"/>
    <w:rsid w:val="002F6843"/>
    <w:rsid w:val="003043DC"/>
    <w:rsid w:val="00311457"/>
    <w:rsid w:val="003217C6"/>
    <w:rsid w:val="00341C1B"/>
    <w:rsid w:val="00352C08"/>
    <w:rsid w:val="003532A4"/>
    <w:rsid w:val="00356D8A"/>
    <w:rsid w:val="0037016F"/>
    <w:rsid w:val="003734D9"/>
    <w:rsid w:val="003919AD"/>
    <w:rsid w:val="00391C29"/>
    <w:rsid w:val="0039227D"/>
    <w:rsid w:val="00393D86"/>
    <w:rsid w:val="003A2677"/>
    <w:rsid w:val="003C17C3"/>
    <w:rsid w:val="003C43AA"/>
    <w:rsid w:val="003C758B"/>
    <w:rsid w:val="003D476A"/>
    <w:rsid w:val="00413E9A"/>
    <w:rsid w:val="00414ACF"/>
    <w:rsid w:val="00414F9B"/>
    <w:rsid w:val="004200FB"/>
    <w:rsid w:val="00440BF3"/>
    <w:rsid w:val="00443F13"/>
    <w:rsid w:val="00445B2A"/>
    <w:rsid w:val="0045669E"/>
    <w:rsid w:val="004650D8"/>
    <w:rsid w:val="00473706"/>
    <w:rsid w:val="004906F8"/>
    <w:rsid w:val="004908DE"/>
    <w:rsid w:val="004A0319"/>
    <w:rsid w:val="004A21B5"/>
    <w:rsid w:val="004B6EF2"/>
    <w:rsid w:val="004C6AE2"/>
    <w:rsid w:val="004D2936"/>
    <w:rsid w:val="004D5BF5"/>
    <w:rsid w:val="004E7417"/>
    <w:rsid w:val="005052B2"/>
    <w:rsid w:val="00540675"/>
    <w:rsid w:val="0054086F"/>
    <w:rsid w:val="00547DFB"/>
    <w:rsid w:val="00550844"/>
    <w:rsid w:val="005552D6"/>
    <w:rsid w:val="00561019"/>
    <w:rsid w:val="00565E0B"/>
    <w:rsid w:val="00575FC4"/>
    <w:rsid w:val="0057683A"/>
    <w:rsid w:val="005817E4"/>
    <w:rsid w:val="00590BF4"/>
    <w:rsid w:val="00594125"/>
    <w:rsid w:val="00597A3D"/>
    <w:rsid w:val="005A06FD"/>
    <w:rsid w:val="005B6555"/>
    <w:rsid w:val="005B772D"/>
    <w:rsid w:val="005B7A7F"/>
    <w:rsid w:val="005D3DB9"/>
    <w:rsid w:val="005D45EF"/>
    <w:rsid w:val="005E7BBB"/>
    <w:rsid w:val="005F19B1"/>
    <w:rsid w:val="0060212D"/>
    <w:rsid w:val="00614916"/>
    <w:rsid w:val="00615385"/>
    <w:rsid w:val="00634BE5"/>
    <w:rsid w:val="00637AF8"/>
    <w:rsid w:val="0064722D"/>
    <w:rsid w:val="00654315"/>
    <w:rsid w:val="006642B8"/>
    <w:rsid w:val="00670247"/>
    <w:rsid w:val="00682BA3"/>
    <w:rsid w:val="00690F7A"/>
    <w:rsid w:val="006A7A97"/>
    <w:rsid w:val="006B1407"/>
    <w:rsid w:val="006C0919"/>
    <w:rsid w:val="006D0AA9"/>
    <w:rsid w:val="006D6467"/>
    <w:rsid w:val="006E1CE6"/>
    <w:rsid w:val="006E6BDA"/>
    <w:rsid w:val="006F45D6"/>
    <w:rsid w:val="00721C67"/>
    <w:rsid w:val="007223D6"/>
    <w:rsid w:val="00724BC0"/>
    <w:rsid w:val="0073686F"/>
    <w:rsid w:val="0075307F"/>
    <w:rsid w:val="007575EC"/>
    <w:rsid w:val="0076149F"/>
    <w:rsid w:val="00770BF6"/>
    <w:rsid w:val="007813B6"/>
    <w:rsid w:val="007C3CDF"/>
    <w:rsid w:val="007C75BB"/>
    <w:rsid w:val="007D0005"/>
    <w:rsid w:val="007E03F2"/>
    <w:rsid w:val="007E1051"/>
    <w:rsid w:val="007E2C71"/>
    <w:rsid w:val="007F433E"/>
    <w:rsid w:val="007F6EC0"/>
    <w:rsid w:val="007F7227"/>
    <w:rsid w:val="00800572"/>
    <w:rsid w:val="00804AE0"/>
    <w:rsid w:val="00816191"/>
    <w:rsid w:val="0081682B"/>
    <w:rsid w:val="00841A40"/>
    <w:rsid w:val="0086239E"/>
    <w:rsid w:val="0086493C"/>
    <w:rsid w:val="00865F06"/>
    <w:rsid w:val="008858A3"/>
    <w:rsid w:val="008917D0"/>
    <w:rsid w:val="008D0A7B"/>
    <w:rsid w:val="008F1DFD"/>
    <w:rsid w:val="00900347"/>
    <w:rsid w:val="00900A8C"/>
    <w:rsid w:val="00903D66"/>
    <w:rsid w:val="009328E8"/>
    <w:rsid w:val="0093658C"/>
    <w:rsid w:val="009542D2"/>
    <w:rsid w:val="00962DB0"/>
    <w:rsid w:val="00966EA4"/>
    <w:rsid w:val="009A2387"/>
    <w:rsid w:val="009A7650"/>
    <w:rsid w:val="009D2935"/>
    <w:rsid w:val="009D3BAA"/>
    <w:rsid w:val="009F46E8"/>
    <w:rsid w:val="00A03584"/>
    <w:rsid w:val="00A044F8"/>
    <w:rsid w:val="00A15305"/>
    <w:rsid w:val="00A30CA7"/>
    <w:rsid w:val="00A321B5"/>
    <w:rsid w:val="00A412ED"/>
    <w:rsid w:val="00A55E3E"/>
    <w:rsid w:val="00A6277D"/>
    <w:rsid w:val="00A73891"/>
    <w:rsid w:val="00A76D0A"/>
    <w:rsid w:val="00A86968"/>
    <w:rsid w:val="00A87D7B"/>
    <w:rsid w:val="00A92B05"/>
    <w:rsid w:val="00A9302F"/>
    <w:rsid w:val="00A94235"/>
    <w:rsid w:val="00A97ADE"/>
    <w:rsid w:val="00A97F0A"/>
    <w:rsid w:val="00AA21A3"/>
    <w:rsid w:val="00AA4174"/>
    <w:rsid w:val="00AC43F1"/>
    <w:rsid w:val="00AE3388"/>
    <w:rsid w:val="00AE43A5"/>
    <w:rsid w:val="00AF2112"/>
    <w:rsid w:val="00AF6831"/>
    <w:rsid w:val="00B151D3"/>
    <w:rsid w:val="00B15CFF"/>
    <w:rsid w:val="00B3013B"/>
    <w:rsid w:val="00B370B2"/>
    <w:rsid w:val="00B44221"/>
    <w:rsid w:val="00B5167A"/>
    <w:rsid w:val="00B544E6"/>
    <w:rsid w:val="00B723F3"/>
    <w:rsid w:val="00B754AB"/>
    <w:rsid w:val="00B7619F"/>
    <w:rsid w:val="00B86871"/>
    <w:rsid w:val="00B96460"/>
    <w:rsid w:val="00BA00C3"/>
    <w:rsid w:val="00BA061B"/>
    <w:rsid w:val="00BA2241"/>
    <w:rsid w:val="00BA2AE9"/>
    <w:rsid w:val="00BA48B3"/>
    <w:rsid w:val="00BA4AB6"/>
    <w:rsid w:val="00BB14DC"/>
    <w:rsid w:val="00C001AF"/>
    <w:rsid w:val="00C05934"/>
    <w:rsid w:val="00C17B14"/>
    <w:rsid w:val="00C17D72"/>
    <w:rsid w:val="00C26C48"/>
    <w:rsid w:val="00C34758"/>
    <w:rsid w:val="00C41830"/>
    <w:rsid w:val="00C55D72"/>
    <w:rsid w:val="00C626E0"/>
    <w:rsid w:val="00C76BE6"/>
    <w:rsid w:val="00C9398E"/>
    <w:rsid w:val="00C95EF3"/>
    <w:rsid w:val="00C9778B"/>
    <w:rsid w:val="00CA7985"/>
    <w:rsid w:val="00CB6084"/>
    <w:rsid w:val="00CC52CB"/>
    <w:rsid w:val="00CC7348"/>
    <w:rsid w:val="00CD0F43"/>
    <w:rsid w:val="00CD776B"/>
    <w:rsid w:val="00CF0AEF"/>
    <w:rsid w:val="00D047E6"/>
    <w:rsid w:val="00D1750F"/>
    <w:rsid w:val="00D23A05"/>
    <w:rsid w:val="00D27456"/>
    <w:rsid w:val="00D31B2C"/>
    <w:rsid w:val="00D43DC9"/>
    <w:rsid w:val="00D65404"/>
    <w:rsid w:val="00D7036C"/>
    <w:rsid w:val="00D80401"/>
    <w:rsid w:val="00D82163"/>
    <w:rsid w:val="00D9567E"/>
    <w:rsid w:val="00D97C41"/>
    <w:rsid w:val="00DA3BD1"/>
    <w:rsid w:val="00DA4F8F"/>
    <w:rsid w:val="00DC6482"/>
    <w:rsid w:val="00DD2847"/>
    <w:rsid w:val="00DE672F"/>
    <w:rsid w:val="00E355CF"/>
    <w:rsid w:val="00E45540"/>
    <w:rsid w:val="00E45A0D"/>
    <w:rsid w:val="00E5757D"/>
    <w:rsid w:val="00E7258D"/>
    <w:rsid w:val="00E828E4"/>
    <w:rsid w:val="00EA0ABC"/>
    <w:rsid w:val="00EB1352"/>
    <w:rsid w:val="00EB2A53"/>
    <w:rsid w:val="00EB44AB"/>
    <w:rsid w:val="00EC0082"/>
    <w:rsid w:val="00EC577E"/>
    <w:rsid w:val="00ED1FB8"/>
    <w:rsid w:val="00EE41B9"/>
    <w:rsid w:val="00EF614F"/>
    <w:rsid w:val="00F02A9A"/>
    <w:rsid w:val="00F03396"/>
    <w:rsid w:val="00F27675"/>
    <w:rsid w:val="00F365DB"/>
    <w:rsid w:val="00F72A43"/>
    <w:rsid w:val="00F84C3A"/>
    <w:rsid w:val="00F85329"/>
    <w:rsid w:val="00F85C0A"/>
    <w:rsid w:val="00FA51AC"/>
    <w:rsid w:val="00FC59A8"/>
    <w:rsid w:val="00FC75C0"/>
    <w:rsid w:val="00FD1CF3"/>
    <w:rsid w:val="00FF3E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AFFE2"/>
  <w15:chartTrackingRefBased/>
  <w15:docId w15:val="{26DAC869-FDB7-485A-BF9E-2FE5B2C7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1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14"/>
  </w:style>
  <w:style w:type="paragraph" w:styleId="Footer">
    <w:name w:val="footer"/>
    <w:basedOn w:val="Normal"/>
    <w:link w:val="FooterChar"/>
    <w:uiPriority w:val="99"/>
    <w:unhideWhenUsed/>
    <w:rsid w:val="00C17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14"/>
  </w:style>
  <w:style w:type="table" w:styleId="TableGrid">
    <w:name w:val="Table Grid"/>
    <w:basedOn w:val="TableNormal"/>
    <w:uiPriority w:val="39"/>
    <w:rsid w:val="00C1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B14"/>
    <w:pPr>
      <w:ind w:left="720"/>
      <w:contextualSpacing/>
    </w:pPr>
  </w:style>
  <w:style w:type="character" w:styleId="Hyperlink">
    <w:name w:val="Hyperlink"/>
    <w:basedOn w:val="DefaultParagraphFont"/>
    <w:uiPriority w:val="99"/>
    <w:unhideWhenUsed/>
    <w:rsid w:val="007F7227"/>
    <w:rPr>
      <w:color w:val="0563C1" w:themeColor="hyperlink"/>
      <w:u w:val="single"/>
    </w:rPr>
  </w:style>
  <w:style w:type="character" w:styleId="CommentReference">
    <w:name w:val="annotation reference"/>
    <w:basedOn w:val="DefaultParagraphFont"/>
    <w:uiPriority w:val="99"/>
    <w:semiHidden/>
    <w:unhideWhenUsed/>
    <w:rsid w:val="00EF614F"/>
    <w:rPr>
      <w:sz w:val="16"/>
      <w:szCs w:val="16"/>
    </w:rPr>
  </w:style>
  <w:style w:type="paragraph" w:styleId="CommentText">
    <w:name w:val="annotation text"/>
    <w:basedOn w:val="Normal"/>
    <w:link w:val="CommentTextChar"/>
    <w:uiPriority w:val="99"/>
    <w:semiHidden/>
    <w:unhideWhenUsed/>
    <w:rsid w:val="00EF614F"/>
    <w:pPr>
      <w:spacing w:line="240" w:lineRule="auto"/>
    </w:pPr>
    <w:rPr>
      <w:sz w:val="20"/>
      <w:szCs w:val="20"/>
    </w:rPr>
  </w:style>
  <w:style w:type="character" w:customStyle="1" w:styleId="CommentTextChar">
    <w:name w:val="Comment Text Char"/>
    <w:basedOn w:val="DefaultParagraphFont"/>
    <w:link w:val="CommentText"/>
    <w:uiPriority w:val="99"/>
    <w:semiHidden/>
    <w:rsid w:val="00EF61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614F"/>
    <w:rPr>
      <w:b/>
      <w:bCs/>
    </w:rPr>
  </w:style>
  <w:style w:type="character" w:customStyle="1" w:styleId="CommentSubjectChar">
    <w:name w:val="Comment Subject Char"/>
    <w:basedOn w:val="CommentTextChar"/>
    <w:link w:val="CommentSubject"/>
    <w:uiPriority w:val="99"/>
    <w:semiHidden/>
    <w:rsid w:val="00EF614F"/>
    <w:rPr>
      <w:rFonts w:ascii="Arial" w:hAnsi="Arial"/>
      <w:b/>
      <w:bCs/>
      <w:sz w:val="20"/>
      <w:szCs w:val="20"/>
    </w:rPr>
  </w:style>
  <w:style w:type="paragraph" w:styleId="BalloonText">
    <w:name w:val="Balloon Text"/>
    <w:basedOn w:val="Normal"/>
    <w:link w:val="BalloonTextChar"/>
    <w:uiPriority w:val="99"/>
    <w:semiHidden/>
    <w:unhideWhenUsed/>
    <w:rsid w:val="00EF6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4F"/>
    <w:rPr>
      <w:rFonts w:ascii="Segoe UI" w:hAnsi="Segoe UI" w:cs="Segoe UI"/>
      <w:sz w:val="18"/>
      <w:szCs w:val="18"/>
    </w:rPr>
  </w:style>
  <w:style w:type="character" w:styleId="FollowedHyperlink">
    <w:name w:val="FollowedHyperlink"/>
    <w:basedOn w:val="DefaultParagraphFont"/>
    <w:uiPriority w:val="99"/>
    <w:semiHidden/>
    <w:unhideWhenUsed/>
    <w:rsid w:val="00352C08"/>
    <w:rPr>
      <w:color w:val="954F72" w:themeColor="followedHyperlink"/>
      <w:u w:val="single"/>
    </w:rPr>
  </w:style>
  <w:style w:type="paragraph" w:styleId="NormalWeb">
    <w:name w:val="Normal (Web)"/>
    <w:basedOn w:val="Normal"/>
    <w:uiPriority w:val="99"/>
    <w:semiHidden/>
    <w:unhideWhenUsed/>
    <w:rsid w:val="001931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2499">
      <w:bodyDiv w:val="1"/>
      <w:marLeft w:val="0"/>
      <w:marRight w:val="0"/>
      <w:marTop w:val="0"/>
      <w:marBottom w:val="0"/>
      <w:divBdr>
        <w:top w:val="none" w:sz="0" w:space="0" w:color="auto"/>
        <w:left w:val="none" w:sz="0" w:space="0" w:color="auto"/>
        <w:bottom w:val="none" w:sz="0" w:space="0" w:color="auto"/>
        <w:right w:val="none" w:sz="0" w:space="0" w:color="auto"/>
      </w:divBdr>
    </w:div>
    <w:div w:id="578057449">
      <w:bodyDiv w:val="1"/>
      <w:marLeft w:val="0"/>
      <w:marRight w:val="0"/>
      <w:marTop w:val="0"/>
      <w:marBottom w:val="0"/>
      <w:divBdr>
        <w:top w:val="none" w:sz="0" w:space="0" w:color="auto"/>
        <w:left w:val="none" w:sz="0" w:space="0" w:color="auto"/>
        <w:bottom w:val="none" w:sz="0" w:space="0" w:color="auto"/>
        <w:right w:val="none" w:sz="0" w:space="0" w:color="auto"/>
      </w:divBdr>
    </w:div>
    <w:div w:id="648941767">
      <w:bodyDiv w:val="1"/>
      <w:marLeft w:val="0"/>
      <w:marRight w:val="0"/>
      <w:marTop w:val="0"/>
      <w:marBottom w:val="0"/>
      <w:divBdr>
        <w:top w:val="none" w:sz="0" w:space="0" w:color="auto"/>
        <w:left w:val="none" w:sz="0" w:space="0" w:color="auto"/>
        <w:bottom w:val="none" w:sz="0" w:space="0" w:color="auto"/>
        <w:right w:val="none" w:sz="0" w:space="0" w:color="auto"/>
      </w:divBdr>
    </w:div>
    <w:div w:id="723017785">
      <w:bodyDiv w:val="1"/>
      <w:marLeft w:val="0"/>
      <w:marRight w:val="0"/>
      <w:marTop w:val="0"/>
      <w:marBottom w:val="0"/>
      <w:divBdr>
        <w:top w:val="none" w:sz="0" w:space="0" w:color="auto"/>
        <w:left w:val="none" w:sz="0" w:space="0" w:color="auto"/>
        <w:bottom w:val="none" w:sz="0" w:space="0" w:color="auto"/>
        <w:right w:val="none" w:sz="0" w:space="0" w:color="auto"/>
      </w:divBdr>
    </w:div>
    <w:div w:id="776602648">
      <w:bodyDiv w:val="1"/>
      <w:marLeft w:val="0"/>
      <w:marRight w:val="0"/>
      <w:marTop w:val="0"/>
      <w:marBottom w:val="0"/>
      <w:divBdr>
        <w:top w:val="none" w:sz="0" w:space="0" w:color="auto"/>
        <w:left w:val="none" w:sz="0" w:space="0" w:color="auto"/>
        <w:bottom w:val="none" w:sz="0" w:space="0" w:color="auto"/>
        <w:right w:val="none" w:sz="0" w:space="0" w:color="auto"/>
      </w:divBdr>
    </w:div>
    <w:div w:id="881789088">
      <w:bodyDiv w:val="1"/>
      <w:marLeft w:val="0"/>
      <w:marRight w:val="0"/>
      <w:marTop w:val="0"/>
      <w:marBottom w:val="0"/>
      <w:divBdr>
        <w:top w:val="none" w:sz="0" w:space="0" w:color="auto"/>
        <w:left w:val="none" w:sz="0" w:space="0" w:color="auto"/>
        <w:bottom w:val="none" w:sz="0" w:space="0" w:color="auto"/>
        <w:right w:val="none" w:sz="0" w:space="0" w:color="auto"/>
      </w:divBdr>
    </w:div>
    <w:div w:id="1273973283">
      <w:bodyDiv w:val="1"/>
      <w:marLeft w:val="0"/>
      <w:marRight w:val="0"/>
      <w:marTop w:val="0"/>
      <w:marBottom w:val="0"/>
      <w:divBdr>
        <w:top w:val="none" w:sz="0" w:space="0" w:color="auto"/>
        <w:left w:val="none" w:sz="0" w:space="0" w:color="auto"/>
        <w:bottom w:val="none" w:sz="0" w:space="0" w:color="auto"/>
        <w:right w:val="none" w:sz="0" w:space="0" w:color="auto"/>
      </w:divBdr>
    </w:div>
    <w:div w:id="1469012499">
      <w:bodyDiv w:val="1"/>
      <w:marLeft w:val="0"/>
      <w:marRight w:val="0"/>
      <w:marTop w:val="0"/>
      <w:marBottom w:val="0"/>
      <w:divBdr>
        <w:top w:val="none" w:sz="0" w:space="0" w:color="auto"/>
        <w:left w:val="none" w:sz="0" w:space="0" w:color="auto"/>
        <w:bottom w:val="none" w:sz="0" w:space="0" w:color="auto"/>
        <w:right w:val="none" w:sz="0" w:space="0" w:color="auto"/>
      </w:divBdr>
    </w:div>
    <w:div w:id="1560903198">
      <w:bodyDiv w:val="1"/>
      <w:marLeft w:val="0"/>
      <w:marRight w:val="0"/>
      <w:marTop w:val="0"/>
      <w:marBottom w:val="0"/>
      <w:divBdr>
        <w:top w:val="none" w:sz="0" w:space="0" w:color="auto"/>
        <w:left w:val="none" w:sz="0" w:space="0" w:color="auto"/>
        <w:bottom w:val="none" w:sz="0" w:space="0" w:color="auto"/>
        <w:right w:val="none" w:sz="0" w:space="0" w:color="auto"/>
      </w:divBdr>
    </w:div>
    <w:div w:id="1798446275">
      <w:bodyDiv w:val="1"/>
      <w:marLeft w:val="0"/>
      <w:marRight w:val="0"/>
      <w:marTop w:val="0"/>
      <w:marBottom w:val="0"/>
      <w:divBdr>
        <w:top w:val="none" w:sz="0" w:space="0" w:color="auto"/>
        <w:left w:val="none" w:sz="0" w:space="0" w:color="auto"/>
        <w:bottom w:val="none" w:sz="0" w:space="0" w:color="auto"/>
        <w:right w:val="none" w:sz="0" w:space="0" w:color="auto"/>
      </w:divBdr>
    </w:div>
    <w:div w:id="1849251658">
      <w:bodyDiv w:val="1"/>
      <w:marLeft w:val="0"/>
      <w:marRight w:val="0"/>
      <w:marTop w:val="0"/>
      <w:marBottom w:val="0"/>
      <w:divBdr>
        <w:top w:val="none" w:sz="0" w:space="0" w:color="auto"/>
        <w:left w:val="none" w:sz="0" w:space="0" w:color="auto"/>
        <w:bottom w:val="none" w:sz="0" w:space="0" w:color="auto"/>
        <w:right w:val="none" w:sz="0" w:space="0" w:color="auto"/>
      </w:divBdr>
    </w:div>
    <w:div w:id="2089887816">
      <w:bodyDiv w:val="1"/>
      <w:marLeft w:val="0"/>
      <w:marRight w:val="0"/>
      <w:marTop w:val="0"/>
      <w:marBottom w:val="0"/>
      <w:divBdr>
        <w:top w:val="none" w:sz="0" w:space="0" w:color="auto"/>
        <w:left w:val="none" w:sz="0" w:space="0" w:color="auto"/>
        <w:bottom w:val="none" w:sz="0" w:space="0" w:color="auto"/>
        <w:right w:val="none" w:sz="0" w:space="0" w:color="auto"/>
      </w:divBdr>
      <w:divsChild>
        <w:div w:id="506601964">
          <w:marLeft w:val="0"/>
          <w:marRight w:val="0"/>
          <w:marTop w:val="0"/>
          <w:marBottom w:val="0"/>
          <w:divBdr>
            <w:top w:val="none" w:sz="0" w:space="0" w:color="auto"/>
            <w:left w:val="none" w:sz="0" w:space="0" w:color="auto"/>
            <w:bottom w:val="none" w:sz="0" w:space="0" w:color="auto"/>
            <w:right w:val="none" w:sz="0" w:space="0" w:color="auto"/>
          </w:divBdr>
          <w:divsChild>
            <w:div w:id="20887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Professors-Professeurs/FinancialAdminGuide-GuideAdminFinancier/FundsUse-UtilisationSubventions_eng.asp" TargetMode="External"/><Relationship Id="rId13" Type="http://schemas.openxmlformats.org/officeDocument/2006/relationships/hyperlink" Target="http://www.sshrc-crsh.gc.ca/home-accueil-eng.aspx" TargetMode="External"/><Relationship Id="rId18" Type="http://schemas.openxmlformats.org/officeDocument/2006/relationships/hyperlink" Target="https://www.innovation.ca/en/OurFunds/CFIFunds/infrastructure-operating-fu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e-rce.gc.ca/index_eng.asp" TargetMode="External"/><Relationship Id="rId7" Type="http://schemas.openxmlformats.org/officeDocument/2006/relationships/endnotes" Target="endnotes.xml"/><Relationship Id="rId12" Type="http://schemas.openxmlformats.org/officeDocument/2006/relationships/hyperlink" Target="http://www.nserc-crsng.gc.ca/Professors-Professeurs/RPP-PP/CRD-RDC_eng.asp" TargetMode="External"/><Relationship Id="rId17" Type="http://schemas.openxmlformats.org/officeDocument/2006/relationships/hyperlink" Target="https://www.innovation.ca/en/OurFunds/CFIFunds/InfrastructureOperatingFun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novation.ca/" TargetMode="External"/><Relationship Id="rId20" Type="http://schemas.openxmlformats.org/officeDocument/2006/relationships/hyperlink" Target="https://www.ontario.ca/page/ontario-research-f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erc-crsng.gc.ca/Professors-Professeurs/Grants-Subs/DGIGP-PSIGP_eng.asp" TargetMode="External"/><Relationship Id="rId24" Type="http://schemas.openxmlformats.org/officeDocument/2006/relationships/hyperlink" Target="http://www.oce-ontario.org/about-us" TargetMode="External"/><Relationship Id="rId5" Type="http://schemas.openxmlformats.org/officeDocument/2006/relationships/webSettings" Target="webSettings.xml"/><Relationship Id="rId15" Type="http://schemas.openxmlformats.org/officeDocument/2006/relationships/hyperlink" Target="http://www.chairs-chaires.gc.ca/home-accueil-eng.aspx" TargetMode="External"/><Relationship Id="rId23" Type="http://schemas.openxmlformats.org/officeDocument/2006/relationships/hyperlink" Target="https://www.mitacs.ca/en" TargetMode="External"/><Relationship Id="rId10" Type="http://schemas.openxmlformats.org/officeDocument/2006/relationships/hyperlink" Target="http://www.nserc-crsng.gc.ca/Professors-Professeurs/RPP-PP/Engage-Engagement_eng.asp" TargetMode="External"/><Relationship Id="rId19" Type="http://schemas.openxmlformats.org/officeDocument/2006/relationships/hyperlink" Target="file:///N:\Research%20Accounting\RTA%20Manual\Forms\Certification%20-%20Salary%20of%20Technicians%20and%20Professionals.pdf" TargetMode="External"/><Relationship Id="rId4" Type="http://schemas.openxmlformats.org/officeDocument/2006/relationships/settings" Target="settings.xml"/><Relationship Id="rId9" Type="http://schemas.openxmlformats.org/officeDocument/2006/relationships/hyperlink" Target="http://sites.uoit.ca/finance/departments/research-trust-accounting/contacts.php" TargetMode="External"/><Relationship Id="rId14" Type="http://schemas.openxmlformats.org/officeDocument/2006/relationships/hyperlink" Target="http://www.cihr-irsc.gc.ca/e/193.html" TargetMode="External"/><Relationship Id="rId22" Type="http://schemas.openxmlformats.org/officeDocument/2006/relationships/hyperlink" Target="https://www.mitacs.ca/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E9BA-78E1-42A0-A323-3FEC251D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Chua</dc:creator>
  <cp:keywords/>
  <dc:description/>
  <cp:lastModifiedBy>Corrina Cowles</cp:lastModifiedBy>
  <cp:revision>2</cp:revision>
  <cp:lastPrinted>2016-07-21T18:38:00Z</cp:lastPrinted>
  <dcterms:created xsi:type="dcterms:W3CDTF">2016-09-07T19:57:00Z</dcterms:created>
  <dcterms:modified xsi:type="dcterms:W3CDTF">2016-09-07T19:57:00Z</dcterms:modified>
</cp:coreProperties>
</file>